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783B5169" w14:textId="77777777" w:rsidR="00C23D1A" w:rsidRDefault="00C23D1A" w:rsidP="00D93DC2">
      <w:pPr>
        <w:rPr>
          <w:rFonts w:ascii="PT Serif" w:hAnsi="PT Serif"/>
          <w:color w:val="FF0000"/>
        </w:rPr>
      </w:pPr>
    </w:p>
    <w:p w14:paraId="4DDBF1C2" w14:textId="3BA42E41" w:rsidR="00891D0C" w:rsidRDefault="00891D0C" w:rsidP="00891D0C">
      <w:pPr>
        <w:jc w:val="center"/>
        <w:rPr>
          <w:rFonts w:ascii="PT Serif" w:hAnsi="PT Serif"/>
          <w:b/>
          <w:bCs/>
        </w:rPr>
      </w:pPr>
      <w:r>
        <w:rPr>
          <w:rFonts w:ascii="PT Serif" w:hAnsi="PT Serif"/>
          <w:b/>
          <w:bCs/>
          <w:noProof/>
        </w:rPr>
        <w:drawing>
          <wp:inline distT="0" distB="0" distL="0" distR="0" wp14:anchorId="28E5C148" wp14:editId="4BC9EC7D">
            <wp:extent cx="1934415" cy="1237422"/>
            <wp:effectExtent l="133350" t="114300" r="142240" b="172720"/>
            <wp:docPr id="985503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8501" cy="12528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B21A4FA" w14:textId="28AF4BE9" w:rsidR="00C23D1A" w:rsidRPr="00891D0C" w:rsidRDefault="00C23D1A" w:rsidP="00D93DC2">
      <w:pPr>
        <w:rPr>
          <w:rFonts w:ascii="PT Serif" w:hAnsi="PT Serif"/>
          <w:b/>
          <w:bCs/>
        </w:rPr>
      </w:pPr>
      <w:r w:rsidRPr="00565E18">
        <w:rPr>
          <w:rFonts w:ascii="PT Serif" w:hAnsi="PT Serif"/>
          <w:b/>
          <w:bCs/>
        </w:rPr>
        <w:t>202</w:t>
      </w:r>
      <w:r w:rsidR="007306EC">
        <w:rPr>
          <w:rFonts w:ascii="PT Serif" w:hAnsi="PT Serif"/>
          <w:b/>
          <w:bCs/>
        </w:rPr>
        <w:t>5</w:t>
      </w:r>
      <w:r w:rsidRPr="00565E18">
        <w:rPr>
          <w:rFonts w:ascii="PT Serif" w:hAnsi="PT Serif"/>
          <w:b/>
          <w:bCs/>
        </w:rPr>
        <w:t xml:space="preserve"> </w:t>
      </w:r>
      <w:r w:rsidR="005132A6">
        <w:rPr>
          <w:rFonts w:ascii="PT Serif" w:hAnsi="PT Serif"/>
          <w:b/>
          <w:bCs/>
        </w:rPr>
        <w:t>Third</w:t>
      </w:r>
      <w:r w:rsidRPr="00565E18">
        <w:rPr>
          <w:rFonts w:ascii="PT Serif" w:hAnsi="PT Serif"/>
          <w:b/>
          <w:bCs/>
        </w:rPr>
        <w:t xml:space="preserve"> Quarter </w:t>
      </w:r>
      <w:r w:rsidR="00426DCD" w:rsidRPr="00565E18">
        <w:rPr>
          <w:rFonts w:ascii="PT Serif" w:hAnsi="PT Serif"/>
          <w:b/>
          <w:bCs/>
        </w:rPr>
        <w:t>Letter</w:t>
      </w:r>
    </w:p>
    <w:p w14:paraId="2E6347AC" w14:textId="1C393426" w:rsidR="00D93DC2" w:rsidRPr="00891D0C" w:rsidRDefault="005E786A" w:rsidP="004853CA">
      <w:pPr>
        <w:spacing w:after="0"/>
        <w:rPr>
          <w:rFonts w:ascii="Arial" w:hAnsi="Arial" w:cs="Arial"/>
          <w:b/>
          <w:bCs/>
          <w:i/>
          <w:iCs/>
        </w:rPr>
      </w:pPr>
      <w:r w:rsidRPr="00891D0C">
        <w:rPr>
          <w:rFonts w:ascii="Arial" w:hAnsi="Arial" w:cs="Arial"/>
          <w:b/>
          <w:bCs/>
          <w:i/>
          <w:iCs/>
        </w:rPr>
        <w:t xml:space="preserve">Just a </w:t>
      </w:r>
      <w:r w:rsidR="00E34C9F" w:rsidRPr="00891D0C">
        <w:rPr>
          <w:rFonts w:ascii="Arial" w:hAnsi="Arial" w:cs="Arial"/>
          <w:b/>
          <w:bCs/>
          <w:i/>
          <w:iCs/>
        </w:rPr>
        <w:t>Normal</w:t>
      </w:r>
      <w:r w:rsidRPr="00891D0C">
        <w:rPr>
          <w:rFonts w:ascii="Arial" w:hAnsi="Arial" w:cs="Arial"/>
          <w:b/>
          <w:bCs/>
          <w:i/>
          <w:iCs/>
        </w:rPr>
        <w:t xml:space="preserve"> Year</w:t>
      </w:r>
    </w:p>
    <w:p w14:paraId="7C29D846" w14:textId="7C4A49AB" w:rsidR="004853CA" w:rsidRPr="004853CA" w:rsidRDefault="004853CA" w:rsidP="006360EF">
      <w:pPr>
        <w:spacing w:after="0"/>
        <w:jc w:val="right"/>
        <w:rPr>
          <w:rFonts w:ascii="Arial" w:hAnsi="Arial" w:cs="Arial"/>
        </w:rPr>
      </w:pPr>
    </w:p>
    <w:p w14:paraId="3BDEC6B7" w14:textId="0DA33B9B" w:rsidR="00257627" w:rsidRDefault="00D50A58" w:rsidP="004853CA">
      <w:pPr>
        <w:spacing w:after="0"/>
        <w:rPr>
          <w:rFonts w:ascii="Arial" w:hAnsi="Arial" w:cs="Arial"/>
        </w:rPr>
      </w:pPr>
      <w:bookmarkStart w:id="0" w:name="_Hlk208754866"/>
      <w:r>
        <w:rPr>
          <w:rFonts w:ascii="Arial" w:hAnsi="Arial" w:cs="Arial"/>
        </w:rPr>
        <w:t xml:space="preserve">I imagine the </w:t>
      </w:r>
      <w:r w:rsidR="00FF54AE">
        <w:rPr>
          <w:rFonts w:ascii="Arial" w:hAnsi="Arial" w:cs="Arial"/>
        </w:rPr>
        <w:t xml:space="preserve">term “normal” would probably not be the first word that you’d be inclined to use when describing the </w:t>
      </w:r>
      <w:r w:rsidR="002076E8">
        <w:rPr>
          <w:rFonts w:ascii="Arial" w:hAnsi="Arial" w:cs="Arial"/>
        </w:rPr>
        <w:t xml:space="preserve">stock market activity so far </w:t>
      </w:r>
      <w:r w:rsidR="003777AD">
        <w:rPr>
          <w:rFonts w:ascii="Arial" w:hAnsi="Arial" w:cs="Arial"/>
        </w:rPr>
        <w:t>in 2025</w:t>
      </w:r>
      <w:r w:rsidR="002076E8">
        <w:rPr>
          <w:rFonts w:ascii="Arial" w:hAnsi="Arial" w:cs="Arial"/>
        </w:rPr>
        <w:t xml:space="preserve">. </w:t>
      </w:r>
      <w:r w:rsidR="000962D9">
        <w:rPr>
          <w:rFonts w:ascii="Arial" w:hAnsi="Arial" w:cs="Arial"/>
        </w:rPr>
        <w:t>However, as of</w:t>
      </w:r>
      <w:r w:rsidR="002B345B">
        <w:rPr>
          <w:rFonts w:ascii="Arial" w:hAnsi="Arial" w:cs="Arial"/>
        </w:rPr>
        <w:t xml:space="preserve"> the end of the th</w:t>
      </w:r>
      <w:r w:rsidR="00060CD2">
        <w:rPr>
          <w:rFonts w:ascii="Arial" w:hAnsi="Arial" w:cs="Arial"/>
        </w:rPr>
        <w:t>ird quarte</w:t>
      </w:r>
      <w:r w:rsidR="003777AD">
        <w:rPr>
          <w:rFonts w:ascii="Arial" w:hAnsi="Arial" w:cs="Arial"/>
        </w:rPr>
        <w:t>r</w:t>
      </w:r>
      <w:r w:rsidR="00060CD2">
        <w:rPr>
          <w:rFonts w:ascii="Arial" w:hAnsi="Arial" w:cs="Arial"/>
        </w:rPr>
        <w:t xml:space="preserve">, </w:t>
      </w:r>
      <w:r w:rsidR="002578D9">
        <w:rPr>
          <w:rFonts w:ascii="Arial" w:hAnsi="Arial" w:cs="Arial"/>
        </w:rPr>
        <w:t xml:space="preserve">in most </w:t>
      </w:r>
      <w:r w:rsidR="000962D9">
        <w:rPr>
          <w:rFonts w:ascii="Arial" w:hAnsi="Arial" w:cs="Arial"/>
        </w:rPr>
        <w:t>respects</w:t>
      </w:r>
      <w:r w:rsidR="002578D9">
        <w:rPr>
          <w:rFonts w:ascii="Arial" w:hAnsi="Arial" w:cs="Arial"/>
        </w:rPr>
        <w:t xml:space="preserve">, </w:t>
      </w:r>
      <w:r w:rsidR="000962D9">
        <w:rPr>
          <w:rFonts w:ascii="Arial" w:hAnsi="Arial" w:cs="Arial"/>
        </w:rPr>
        <w:t xml:space="preserve">that is </w:t>
      </w:r>
      <w:r w:rsidR="00060CD2">
        <w:rPr>
          <w:rFonts w:ascii="Arial" w:hAnsi="Arial" w:cs="Arial"/>
        </w:rPr>
        <w:t xml:space="preserve">exactly what we’ve </w:t>
      </w:r>
      <w:r w:rsidR="001B62EE">
        <w:rPr>
          <w:rFonts w:ascii="Arial" w:hAnsi="Arial" w:cs="Arial"/>
        </w:rPr>
        <w:t>gotten</w:t>
      </w:r>
      <w:r w:rsidR="00060CD2">
        <w:rPr>
          <w:rFonts w:ascii="Arial" w:hAnsi="Arial" w:cs="Arial"/>
        </w:rPr>
        <w:t>. Both from a performance</w:t>
      </w:r>
      <w:r w:rsidR="002578D9">
        <w:rPr>
          <w:rFonts w:ascii="Arial" w:hAnsi="Arial" w:cs="Arial"/>
        </w:rPr>
        <w:t xml:space="preserve"> </w:t>
      </w:r>
      <w:r w:rsidR="00060CD2">
        <w:rPr>
          <w:rFonts w:ascii="Arial" w:hAnsi="Arial" w:cs="Arial"/>
        </w:rPr>
        <w:t>and believe or not</w:t>
      </w:r>
      <w:r w:rsidR="002578D9">
        <w:rPr>
          <w:rFonts w:ascii="Arial" w:hAnsi="Arial" w:cs="Arial"/>
        </w:rPr>
        <w:t xml:space="preserve">, </w:t>
      </w:r>
      <w:r w:rsidR="00060CD2">
        <w:rPr>
          <w:rFonts w:ascii="Arial" w:hAnsi="Arial" w:cs="Arial"/>
        </w:rPr>
        <w:t>a volatility perspective.</w:t>
      </w:r>
    </w:p>
    <w:p w14:paraId="1FB8614F" w14:textId="77777777" w:rsidR="00E4205E" w:rsidRDefault="00E4205E" w:rsidP="004853CA">
      <w:pPr>
        <w:spacing w:after="0"/>
        <w:rPr>
          <w:rFonts w:ascii="Arial" w:hAnsi="Arial" w:cs="Arial"/>
        </w:rPr>
      </w:pPr>
    </w:p>
    <w:p w14:paraId="7FAE51B7" w14:textId="39463C51" w:rsidR="00CD2882" w:rsidRDefault="00E4205E" w:rsidP="004853CA">
      <w:pPr>
        <w:spacing w:after="0"/>
        <w:rPr>
          <w:rFonts w:ascii="Arial" w:hAnsi="Arial" w:cs="Arial"/>
        </w:rPr>
      </w:pPr>
      <w:r>
        <w:rPr>
          <w:rFonts w:ascii="Arial" w:hAnsi="Arial" w:cs="Arial"/>
        </w:rPr>
        <w:t>T</w:t>
      </w:r>
      <w:r w:rsidR="0014319F">
        <w:rPr>
          <w:rFonts w:ascii="Arial" w:hAnsi="Arial" w:cs="Arial"/>
        </w:rPr>
        <w:t xml:space="preserve">he </w:t>
      </w:r>
      <w:r>
        <w:rPr>
          <w:rFonts w:ascii="Arial" w:hAnsi="Arial" w:cs="Arial"/>
        </w:rPr>
        <w:t xml:space="preserve">current </w:t>
      </w:r>
      <w:r w:rsidR="0014319F">
        <w:rPr>
          <w:rFonts w:ascii="Arial" w:hAnsi="Arial" w:cs="Arial"/>
        </w:rPr>
        <w:t xml:space="preserve">S&amp;P 500 </w:t>
      </w:r>
      <w:r w:rsidR="007351F1">
        <w:rPr>
          <w:rFonts w:ascii="Arial" w:hAnsi="Arial" w:cs="Arial"/>
        </w:rPr>
        <w:t>return</w:t>
      </w:r>
      <w:r w:rsidR="0014319F">
        <w:rPr>
          <w:rFonts w:ascii="Arial" w:hAnsi="Arial" w:cs="Arial"/>
        </w:rPr>
        <w:t xml:space="preserve"> </w:t>
      </w:r>
      <w:r w:rsidR="007351F1">
        <w:rPr>
          <w:rFonts w:ascii="Arial" w:hAnsi="Arial" w:cs="Arial"/>
        </w:rPr>
        <w:t>is in line with the long</w:t>
      </w:r>
      <w:r w:rsidR="001B62EE">
        <w:rPr>
          <w:rFonts w:ascii="Arial" w:hAnsi="Arial" w:cs="Arial"/>
        </w:rPr>
        <w:t>-</w:t>
      </w:r>
      <w:r w:rsidR="007351F1">
        <w:rPr>
          <w:rFonts w:ascii="Arial" w:hAnsi="Arial" w:cs="Arial"/>
        </w:rPr>
        <w:t xml:space="preserve">term historical averages of </w:t>
      </w:r>
      <w:r w:rsidR="008E3C39">
        <w:rPr>
          <w:rFonts w:ascii="Arial" w:hAnsi="Arial" w:cs="Arial"/>
        </w:rPr>
        <w:t>10-12%</w:t>
      </w:r>
      <w:r w:rsidR="00311F07">
        <w:rPr>
          <w:rFonts w:ascii="Arial" w:hAnsi="Arial" w:cs="Arial"/>
        </w:rPr>
        <w:t xml:space="preserve">. But surely 2025 </w:t>
      </w:r>
      <w:r w:rsidR="00C50446">
        <w:rPr>
          <w:rFonts w:ascii="Arial" w:hAnsi="Arial" w:cs="Arial"/>
        </w:rPr>
        <w:t>must be</w:t>
      </w:r>
      <w:r w:rsidR="00311F07">
        <w:rPr>
          <w:rFonts w:ascii="Arial" w:hAnsi="Arial" w:cs="Arial"/>
        </w:rPr>
        <w:t xml:space="preserve"> </w:t>
      </w:r>
      <w:r w:rsidR="00696C23">
        <w:rPr>
          <w:rFonts w:ascii="Arial" w:hAnsi="Arial" w:cs="Arial"/>
        </w:rPr>
        <w:t>well above average in terms of volatility? In fact</w:t>
      </w:r>
      <w:r w:rsidR="00C50446">
        <w:rPr>
          <w:rFonts w:ascii="Arial" w:hAnsi="Arial" w:cs="Arial"/>
        </w:rPr>
        <w:t>,</w:t>
      </w:r>
      <w:r w:rsidR="00696C23">
        <w:rPr>
          <w:rFonts w:ascii="Arial" w:hAnsi="Arial" w:cs="Arial"/>
        </w:rPr>
        <w:t xml:space="preserve"> despite the </w:t>
      </w:r>
      <w:r w:rsidR="00696C23" w:rsidRPr="00027455">
        <w:rPr>
          <w:rFonts w:ascii="Arial" w:hAnsi="Arial" w:cs="Arial"/>
        </w:rPr>
        <w:t>dramatic April tarif</w:t>
      </w:r>
      <w:r w:rsidR="009C53B2" w:rsidRPr="00027455">
        <w:rPr>
          <w:rFonts w:ascii="Arial" w:hAnsi="Arial" w:cs="Arial"/>
        </w:rPr>
        <w:t>f</w:t>
      </w:r>
      <w:r w:rsidR="00696C23" w:rsidRPr="00027455">
        <w:rPr>
          <w:rFonts w:ascii="Arial" w:hAnsi="Arial" w:cs="Arial"/>
        </w:rPr>
        <w:t xml:space="preserve"> </w:t>
      </w:r>
      <w:r w:rsidR="009C53B2" w:rsidRPr="00027455">
        <w:rPr>
          <w:rFonts w:ascii="Arial" w:hAnsi="Arial" w:cs="Arial"/>
        </w:rPr>
        <w:t>sell-off and</w:t>
      </w:r>
      <w:r w:rsidR="009C53B2">
        <w:rPr>
          <w:rFonts w:ascii="Arial" w:hAnsi="Arial" w:cs="Arial"/>
        </w:rPr>
        <w:t xml:space="preserve"> subsequent historic rebound</w:t>
      </w:r>
      <w:r w:rsidR="00A6519A">
        <w:rPr>
          <w:rFonts w:ascii="Arial" w:hAnsi="Arial" w:cs="Arial"/>
        </w:rPr>
        <w:t>, the</w:t>
      </w:r>
      <w:r w:rsidR="004E6581">
        <w:rPr>
          <w:rFonts w:ascii="Arial" w:hAnsi="Arial" w:cs="Arial"/>
        </w:rPr>
        <w:t xml:space="preserve">re have only been 22 </w:t>
      </w:r>
      <w:r w:rsidR="007D44F8">
        <w:rPr>
          <w:rFonts w:ascii="Arial" w:hAnsi="Arial" w:cs="Arial"/>
        </w:rPr>
        <w:t xml:space="preserve">trading </w:t>
      </w:r>
      <w:r w:rsidR="004E6581">
        <w:rPr>
          <w:rFonts w:ascii="Arial" w:hAnsi="Arial" w:cs="Arial"/>
        </w:rPr>
        <w:t xml:space="preserve">days </w:t>
      </w:r>
      <w:r w:rsidR="001138CB">
        <w:rPr>
          <w:rFonts w:ascii="Arial" w:hAnsi="Arial" w:cs="Arial"/>
        </w:rPr>
        <w:t>with</w:t>
      </w:r>
      <w:r w:rsidR="00E534E1">
        <w:rPr>
          <w:rFonts w:ascii="Arial" w:hAnsi="Arial" w:cs="Arial"/>
        </w:rPr>
        <w:t xml:space="preserve"> </w:t>
      </w:r>
      <w:r w:rsidR="001138CB">
        <w:rPr>
          <w:rFonts w:ascii="Arial" w:hAnsi="Arial" w:cs="Arial"/>
        </w:rPr>
        <w:t>move</w:t>
      </w:r>
      <w:r w:rsidR="00E534E1">
        <w:rPr>
          <w:rFonts w:ascii="Arial" w:hAnsi="Arial" w:cs="Arial"/>
        </w:rPr>
        <w:t>s</w:t>
      </w:r>
      <w:r w:rsidR="001138CB">
        <w:rPr>
          <w:rFonts w:ascii="Arial" w:hAnsi="Arial" w:cs="Arial"/>
        </w:rPr>
        <w:t xml:space="preserve"> </w:t>
      </w:r>
      <w:r w:rsidR="00A6519A">
        <w:rPr>
          <w:rFonts w:ascii="Arial" w:hAnsi="Arial" w:cs="Arial"/>
        </w:rPr>
        <w:t>exceeding 1%</w:t>
      </w:r>
      <w:r w:rsidR="00E534E1">
        <w:rPr>
          <w:rFonts w:ascii="Arial" w:hAnsi="Arial" w:cs="Arial"/>
        </w:rPr>
        <w:t xml:space="preserve"> in 2025</w:t>
      </w:r>
      <w:r w:rsidR="00B215DD">
        <w:rPr>
          <w:rFonts w:ascii="Arial" w:hAnsi="Arial" w:cs="Arial"/>
        </w:rPr>
        <w:t>, on pace to finish well below the historical average of</w:t>
      </w:r>
      <w:r w:rsidR="006A6F6C">
        <w:rPr>
          <w:rFonts w:ascii="Arial" w:hAnsi="Arial" w:cs="Arial"/>
        </w:rPr>
        <w:t xml:space="preserve"> 59 </w:t>
      </w:r>
      <w:r w:rsidR="00892ABC">
        <w:rPr>
          <w:rFonts w:ascii="Arial" w:hAnsi="Arial" w:cs="Arial"/>
        </w:rPr>
        <w:t>days.</w:t>
      </w:r>
      <w:r w:rsidR="009407C5">
        <w:rPr>
          <w:rFonts w:ascii="Arial" w:hAnsi="Arial" w:cs="Arial"/>
        </w:rPr>
        <w:t xml:space="preserve"> Why then has it felt so much more volatile?</w:t>
      </w:r>
    </w:p>
    <w:p w14:paraId="606E9DA2" w14:textId="152D3A91" w:rsidR="008C0C35" w:rsidRDefault="008D0D1B" w:rsidP="004853CA">
      <w:pPr>
        <w:spacing w:after="0"/>
        <w:rPr>
          <w:rFonts w:ascii="Arial" w:hAnsi="Arial" w:cs="Arial"/>
        </w:rPr>
      </w:pPr>
      <w:r>
        <w:rPr>
          <w:rFonts w:ascii="Arial" w:hAnsi="Arial" w:cs="Arial"/>
          <w:noProof/>
        </w:rPr>
        <w:drawing>
          <wp:anchor distT="0" distB="0" distL="114300" distR="114300" simplePos="0" relativeHeight="251659264" behindDoc="1" locked="0" layoutInCell="1" allowOverlap="1" wp14:anchorId="032C9B34" wp14:editId="614ADB27">
            <wp:simplePos x="0" y="0"/>
            <wp:positionH relativeFrom="margin">
              <wp:posOffset>0</wp:posOffset>
            </wp:positionH>
            <wp:positionV relativeFrom="paragraph">
              <wp:posOffset>207010</wp:posOffset>
            </wp:positionV>
            <wp:extent cx="4449445" cy="3084830"/>
            <wp:effectExtent l="0" t="0" r="8255" b="1270"/>
            <wp:wrapTight wrapText="bothSides">
              <wp:wrapPolygon edited="0">
                <wp:start x="0" y="0"/>
                <wp:lineTo x="0" y="21476"/>
                <wp:lineTo x="21548" y="21476"/>
                <wp:lineTo x="21548" y="0"/>
                <wp:lineTo x="0" y="0"/>
              </wp:wrapPolygon>
            </wp:wrapTight>
            <wp:docPr id="1489420380" name="Picture 1" descr="A graph showing a stock mar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420380" name="Picture 1" descr="A graph showing a stock marke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49445" cy="3084830"/>
                    </a:xfrm>
                    <a:prstGeom prst="rect">
                      <a:avLst/>
                    </a:prstGeom>
                  </pic:spPr>
                </pic:pic>
              </a:graphicData>
            </a:graphic>
            <wp14:sizeRelH relativeFrom="margin">
              <wp14:pctWidth>0</wp14:pctWidth>
            </wp14:sizeRelH>
            <wp14:sizeRelV relativeFrom="margin">
              <wp14:pctHeight>0</wp14:pctHeight>
            </wp14:sizeRelV>
          </wp:anchor>
        </w:drawing>
      </w:r>
    </w:p>
    <w:p w14:paraId="02DD86A9" w14:textId="7EAE640B" w:rsidR="008C0C35" w:rsidRDefault="00B75D4B" w:rsidP="004853CA">
      <w:pPr>
        <w:spacing w:after="0"/>
        <w:rPr>
          <w:rFonts w:ascii="Arial" w:hAnsi="Arial" w:cs="Arial"/>
        </w:rPr>
      </w:pPr>
      <w:r>
        <w:rPr>
          <w:rFonts w:ascii="Arial" w:hAnsi="Arial" w:cs="Arial"/>
        </w:rPr>
        <w:t>A</w:t>
      </w:r>
      <w:r w:rsidR="00711E42">
        <w:rPr>
          <w:rFonts w:ascii="Arial" w:hAnsi="Arial" w:cs="Arial"/>
        </w:rPr>
        <w:t xml:space="preserve"> big factor has been the methodology that the Administration employed to achieve their </w:t>
      </w:r>
      <w:r w:rsidR="006A50F8">
        <w:rPr>
          <w:rFonts w:ascii="Arial" w:hAnsi="Arial" w:cs="Arial"/>
        </w:rPr>
        <w:t>desired reorientation of global trade. The “Liberation Day</w:t>
      </w:r>
      <w:r w:rsidR="006A50F8" w:rsidRPr="003908EB">
        <w:rPr>
          <w:rFonts w:ascii="Arial" w:hAnsi="Arial" w:cs="Arial"/>
        </w:rPr>
        <w:t xml:space="preserve">” tariff </w:t>
      </w:r>
      <w:r w:rsidR="00B96723" w:rsidRPr="003908EB">
        <w:rPr>
          <w:rFonts w:ascii="Arial" w:hAnsi="Arial" w:cs="Arial"/>
        </w:rPr>
        <w:t>rate</w:t>
      </w:r>
      <w:r w:rsidR="003908EB" w:rsidRPr="003908EB">
        <w:rPr>
          <w:rFonts w:ascii="Arial" w:hAnsi="Arial" w:cs="Arial"/>
        </w:rPr>
        <w:t>s</w:t>
      </w:r>
      <w:r w:rsidR="00B96723" w:rsidRPr="003908EB">
        <w:rPr>
          <w:rFonts w:ascii="Arial" w:hAnsi="Arial" w:cs="Arial"/>
        </w:rPr>
        <w:t xml:space="preserve"> </w:t>
      </w:r>
      <w:r w:rsidR="008B6B0C" w:rsidRPr="003908EB">
        <w:rPr>
          <w:rFonts w:ascii="Arial" w:hAnsi="Arial" w:cs="Arial"/>
        </w:rPr>
        <w:t>caught</w:t>
      </w:r>
      <w:r w:rsidR="008B6B0C">
        <w:rPr>
          <w:rFonts w:ascii="Arial" w:hAnsi="Arial" w:cs="Arial"/>
        </w:rPr>
        <w:t xml:space="preserve"> the financial markets (and foreign </w:t>
      </w:r>
      <w:r w:rsidR="008B6B0C" w:rsidRPr="00962E8D">
        <w:rPr>
          <w:rFonts w:ascii="Arial" w:hAnsi="Arial" w:cs="Arial"/>
        </w:rPr>
        <w:t>leaders) off guard</w:t>
      </w:r>
      <w:r w:rsidR="006A2285" w:rsidRPr="00962E8D">
        <w:rPr>
          <w:rFonts w:ascii="Arial" w:hAnsi="Arial" w:cs="Arial"/>
        </w:rPr>
        <w:t xml:space="preserve"> </w:t>
      </w:r>
      <w:r w:rsidR="00417EFF" w:rsidRPr="00962E8D">
        <w:rPr>
          <w:rFonts w:ascii="Arial" w:hAnsi="Arial" w:cs="Arial"/>
        </w:rPr>
        <w:t>and raised</w:t>
      </w:r>
      <w:r w:rsidR="00417EFF">
        <w:rPr>
          <w:rFonts w:ascii="Arial" w:hAnsi="Arial" w:cs="Arial"/>
        </w:rPr>
        <w:t xml:space="preserve"> a lot of short</w:t>
      </w:r>
      <w:r w:rsidR="00ED0757">
        <w:rPr>
          <w:rFonts w:ascii="Arial" w:hAnsi="Arial" w:cs="Arial"/>
        </w:rPr>
        <w:t>-</w:t>
      </w:r>
      <w:r w:rsidR="00417EFF">
        <w:rPr>
          <w:rFonts w:ascii="Arial" w:hAnsi="Arial" w:cs="Arial"/>
        </w:rPr>
        <w:t>term uncertainty. However</w:t>
      </w:r>
      <w:r w:rsidR="006979B0">
        <w:rPr>
          <w:rFonts w:ascii="Arial" w:hAnsi="Arial" w:cs="Arial"/>
        </w:rPr>
        <w:t>,</w:t>
      </w:r>
      <w:r w:rsidR="00ED0757">
        <w:rPr>
          <w:rFonts w:ascii="Arial" w:hAnsi="Arial" w:cs="Arial"/>
        </w:rPr>
        <w:t xml:space="preserve"> as the July 9 deadline</w:t>
      </w:r>
      <w:r w:rsidR="00AF4157">
        <w:rPr>
          <w:rFonts w:ascii="Arial" w:hAnsi="Arial" w:cs="Arial"/>
        </w:rPr>
        <w:t xml:space="preserve"> for imposing higher tariffs approached, n</w:t>
      </w:r>
      <w:r w:rsidR="00B43DC2">
        <w:rPr>
          <w:rFonts w:ascii="Arial" w:hAnsi="Arial" w:cs="Arial"/>
        </w:rPr>
        <w:t xml:space="preserve">early all the US major trading partners reached </w:t>
      </w:r>
      <w:r w:rsidR="00903B26">
        <w:rPr>
          <w:rFonts w:ascii="Arial" w:hAnsi="Arial" w:cs="Arial"/>
        </w:rPr>
        <w:t>agreements</w:t>
      </w:r>
      <w:r w:rsidR="006979B0">
        <w:rPr>
          <w:rFonts w:ascii="Arial" w:hAnsi="Arial" w:cs="Arial"/>
        </w:rPr>
        <w:t xml:space="preserve"> </w:t>
      </w:r>
      <w:r w:rsidR="00450114">
        <w:rPr>
          <w:rFonts w:ascii="Arial" w:hAnsi="Arial" w:cs="Arial"/>
        </w:rPr>
        <w:t xml:space="preserve">on tariffs that were </w:t>
      </w:r>
      <w:r w:rsidR="006979B0">
        <w:rPr>
          <w:rFonts w:ascii="Arial" w:hAnsi="Arial" w:cs="Arial"/>
        </w:rPr>
        <w:t>well</w:t>
      </w:r>
      <w:r w:rsidR="00221F1D">
        <w:rPr>
          <w:rFonts w:ascii="Arial" w:hAnsi="Arial" w:cs="Arial"/>
        </w:rPr>
        <w:t xml:space="preserve"> below those that were initially </w:t>
      </w:r>
      <w:r w:rsidR="00B96723" w:rsidRPr="00903B26">
        <w:rPr>
          <w:rFonts w:ascii="Arial" w:hAnsi="Arial" w:cs="Arial"/>
        </w:rPr>
        <w:t>proposed</w:t>
      </w:r>
      <w:r w:rsidR="00221F1D">
        <w:rPr>
          <w:rFonts w:ascii="Arial" w:hAnsi="Arial" w:cs="Arial"/>
        </w:rPr>
        <w:t xml:space="preserve">. </w:t>
      </w:r>
      <w:r>
        <w:rPr>
          <w:rFonts w:ascii="Arial" w:hAnsi="Arial" w:cs="Arial"/>
        </w:rPr>
        <w:t xml:space="preserve"> </w:t>
      </w:r>
    </w:p>
    <w:bookmarkEnd w:id="0"/>
    <w:p w14:paraId="77A473F4" w14:textId="77777777" w:rsidR="00031DA9" w:rsidRDefault="00031DA9" w:rsidP="004853CA">
      <w:pPr>
        <w:spacing w:after="0"/>
        <w:rPr>
          <w:rFonts w:ascii="Arial" w:hAnsi="Arial" w:cs="Arial"/>
        </w:rPr>
      </w:pPr>
    </w:p>
    <w:p w14:paraId="518D323A" w14:textId="77777777" w:rsidR="00891D0C" w:rsidRDefault="00891D0C" w:rsidP="004853CA">
      <w:pPr>
        <w:spacing w:after="0"/>
        <w:rPr>
          <w:rFonts w:ascii="Arial" w:hAnsi="Arial" w:cs="Arial"/>
          <w:b/>
          <w:bCs/>
          <w:i/>
          <w:iCs/>
        </w:rPr>
      </w:pPr>
    </w:p>
    <w:p w14:paraId="3A3949D0" w14:textId="77777777" w:rsidR="00891D0C" w:rsidRDefault="00891D0C" w:rsidP="004853CA">
      <w:pPr>
        <w:spacing w:after="0"/>
        <w:rPr>
          <w:rFonts w:ascii="Arial" w:hAnsi="Arial" w:cs="Arial"/>
          <w:b/>
          <w:bCs/>
          <w:i/>
          <w:iCs/>
        </w:rPr>
      </w:pPr>
    </w:p>
    <w:p w14:paraId="322E61DD" w14:textId="30CCC1F3" w:rsidR="00F2021E" w:rsidRPr="00891D0C" w:rsidRDefault="00165739" w:rsidP="004853CA">
      <w:pPr>
        <w:spacing w:after="0"/>
        <w:rPr>
          <w:rFonts w:ascii="Arial" w:hAnsi="Arial" w:cs="Arial"/>
          <w:b/>
          <w:bCs/>
          <w:i/>
          <w:iCs/>
        </w:rPr>
      </w:pPr>
      <w:r w:rsidRPr="00891D0C">
        <w:rPr>
          <w:rFonts w:ascii="Arial" w:hAnsi="Arial" w:cs="Arial"/>
          <w:b/>
          <w:bCs/>
          <w:i/>
          <w:iCs/>
        </w:rPr>
        <w:lastRenderedPageBreak/>
        <w:t>Economic trends</w:t>
      </w:r>
      <w:r w:rsidR="001C0893" w:rsidRPr="00891D0C">
        <w:rPr>
          <w:rFonts w:ascii="Arial" w:hAnsi="Arial" w:cs="Arial"/>
          <w:b/>
          <w:bCs/>
          <w:i/>
          <w:iCs/>
        </w:rPr>
        <w:t xml:space="preserve"> </w:t>
      </w:r>
    </w:p>
    <w:p w14:paraId="5A46434A" w14:textId="5759E700" w:rsidR="00A473D5" w:rsidRDefault="00A473D5" w:rsidP="004853CA">
      <w:pPr>
        <w:spacing w:after="0"/>
        <w:rPr>
          <w:rFonts w:ascii="Arial" w:hAnsi="Arial" w:cs="Arial"/>
        </w:rPr>
      </w:pPr>
    </w:p>
    <w:p w14:paraId="16EBE40B" w14:textId="4E3B160E" w:rsidR="00FB1383" w:rsidRDefault="00891D0C" w:rsidP="00FB1383">
      <w:pPr>
        <w:spacing w:after="0"/>
        <w:rPr>
          <w:rFonts w:ascii="Arial" w:hAnsi="Arial" w:cs="Arial"/>
        </w:rPr>
      </w:pPr>
      <w:r>
        <w:rPr>
          <w:rFonts w:ascii="Arial" w:hAnsi="Arial" w:cs="Arial"/>
          <w:noProof/>
        </w:rPr>
        <w:drawing>
          <wp:anchor distT="0" distB="0" distL="114300" distR="114300" simplePos="0" relativeHeight="251663360" behindDoc="1" locked="0" layoutInCell="1" allowOverlap="1" wp14:anchorId="58E85960" wp14:editId="2EC8B480">
            <wp:simplePos x="0" y="0"/>
            <wp:positionH relativeFrom="margin">
              <wp:align>right</wp:align>
            </wp:positionH>
            <wp:positionV relativeFrom="paragraph">
              <wp:posOffset>11430</wp:posOffset>
            </wp:positionV>
            <wp:extent cx="4665980" cy="3378835"/>
            <wp:effectExtent l="0" t="0" r="1270" b="0"/>
            <wp:wrapTight wrapText="bothSides">
              <wp:wrapPolygon edited="0">
                <wp:start x="0" y="0"/>
                <wp:lineTo x="0" y="21434"/>
                <wp:lineTo x="21518" y="21434"/>
                <wp:lineTo x="21518" y="0"/>
                <wp:lineTo x="0" y="0"/>
              </wp:wrapPolygon>
            </wp:wrapTight>
            <wp:docPr id="1234161954" name="Picture 6" descr="A graph showing the price of energ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161954" name="Picture 6" descr="A graph showing the price of energy&#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5980" cy="337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383">
        <w:rPr>
          <w:rFonts w:ascii="Arial" w:hAnsi="Arial" w:cs="Arial"/>
        </w:rPr>
        <w:t>The bright spot has been the amazing ability of US companies to adapt and persist through this period of uncertainty. Earnings estimates coming into the quarter were modest at roughly 4% earnings per share growth, as many companies had pulled their guidance during first quarter earnings calls due to the lack of visibility on tariffs. However, with over 90 percent of the S&amp;P 500 having reported the actual EPS growth rate is just under 12%, substantially exceeding expectations. And many more companies felt comfortable providing guidance for the rest of the year, with nearly 60% of those increasing their outlook.</w:t>
      </w:r>
    </w:p>
    <w:p w14:paraId="72983F74" w14:textId="77777777" w:rsidR="00FB1383" w:rsidRDefault="00FB1383" w:rsidP="00FB1383">
      <w:pPr>
        <w:spacing w:after="0"/>
        <w:rPr>
          <w:rFonts w:ascii="Arial" w:hAnsi="Arial" w:cs="Arial"/>
        </w:rPr>
      </w:pPr>
    </w:p>
    <w:p w14:paraId="55C72D97" w14:textId="5804AC0E" w:rsidR="00FB1383" w:rsidRDefault="00FB1383" w:rsidP="00FB1383">
      <w:pPr>
        <w:spacing w:after="0"/>
        <w:rPr>
          <w:rFonts w:ascii="Arial" w:hAnsi="Arial" w:cs="Arial"/>
        </w:rPr>
      </w:pPr>
      <w:r>
        <w:rPr>
          <w:rFonts w:ascii="Arial" w:hAnsi="Arial" w:cs="Arial"/>
        </w:rPr>
        <w:t xml:space="preserve">While 82% of S&amp;P 500 companies exceeded their expectations, the technology and communications services, and other AI-adjacent companies continued to drive the bulk of the earnings growth. Capital spending plans from the mega-cap once again exceeded expectations, as the buildout of data centers required to support the AI Revolution appears to still be in its early stages. </w:t>
      </w:r>
    </w:p>
    <w:p w14:paraId="552CDBC9" w14:textId="0EE59470" w:rsidR="00FB1383" w:rsidRDefault="00FB1383" w:rsidP="00FB1383">
      <w:pPr>
        <w:spacing w:after="0"/>
        <w:rPr>
          <w:rFonts w:ascii="Arial" w:hAnsi="Arial" w:cs="Arial"/>
        </w:rPr>
      </w:pPr>
    </w:p>
    <w:p w14:paraId="34F8975F" w14:textId="187C372D" w:rsidR="00FB1383" w:rsidRPr="0013519F" w:rsidRDefault="00891D0C" w:rsidP="00FB1383">
      <w:pPr>
        <w:spacing w:after="0"/>
        <w:rPr>
          <w:rFonts w:ascii="Arial" w:hAnsi="Arial" w:cs="Arial"/>
        </w:rPr>
      </w:pPr>
      <w:r>
        <w:rPr>
          <w:rFonts w:ascii="Arial" w:hAnsi="Arial" w:cs="Arial"/>
          <w:noProof/>
        </w:rPr>
        <w:drawing>
          <wp:anchor distT="0" distB="0" distL="114300" distR="114300" simplePos="0" relativeHeight="251667456" behindDoc="1" locked="0" layoutInCell="1" allowOverlap="1" wp14:anchorId="4D413C2F" wp14:editId="705D6C72">
            <wp:simplePos x="0" y="0"/>
            <wp:positionH relativeFrom="margin">
              <wp:align>right</wp:align>
            </wp:positionH>
            <wp:positionV relativeFrom="paragraph">
              <wp:posOffset>9884</wp:posOffset>
            </wp:positionV>
            <wp:extent cx="4102735" cy="2799080"/>
            <wp:effectExtent l="0" t="0" r="0" b="1270"/>
            <wp:wrapTight wrapText="bothSides">
              <wp:wrapPolygon edited="0">
                <wp:start x="0" y="0"/>
                <wp:lineTo x="0" y="21463"/>
                <wp:lineTo x="21463" y="21463"/>
                <wp:lineTo x="21463" y="0"/>
                <wp:lineTo x="0" y="0"/>
              </wp:wrapPolygon>
            </wp:wrapTight>
            <wp:docPr id="1393516609" name="Picture 3" descr="A graph showing a line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16609" name="Picture 3" descr="A graph showing a line grap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2735" cy="2799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1383" w:rsidRPr="004E3274">
        <w:rPr>
          <w:rFonts w:ascii="Arial" w:hAnsi="Arial" w:cs="Arial"/>
        </w:rPr>
        <w:t>Interest rates have broken out their 4.25-4.75% range to settle just above 4% as the bond market cheers the resumption of the Fed rate cut cycle which</w:t>
      </w:r>
      <w:r w:rsidR="00C97A24">
        <w:rPr>
          <w:rFonts w:ascii="Arial" w:hAnsi="Arial" w:cs="Arial"/>
        </w:rPr>
        <w:t>, until recently,</w:t>
      </w:r>
      <w:r w:rsidR="00FB1383" w:rsidRPr="004E3274">
        <w:rPr>
          <w:rFonts w:ascii="Arial" w:hAnsi="Arial" w:cs="Arial"/>
        </w:rPr>
        <w:t xml:space="preserve"> ha</w:t>
      </w:r>
      <w:r w:rsidR="00C97A24">
        <w:rPr>
          <w:rFonts w:ascii="Arial" w:hAnsi="Arial" w:cs="Arial"/>
        </w:rPr>
        <w:t>d</w:t>
      </w:r>
      <w:r w:rsidR="00FB1383" w:rsidRPr="004E3274">
        <w:rPr>
          <w:rFonts w:ascii="Arial" w:hAnsi="Arial" w:cs="Arial"/>
        </w:rPr>
        <w:t xml:space="preserve"> been </w:t>
      </w:r>
      <w:proofErr w:type="gramStart"/>
      <w:r w:rsidR="00FB1383" w:rsidRPr="004E3274">
        <w:rPr>
          <w:rFonts w:ascii="Arial" w:hAnsi="Arial" w:cs="Arial"/>
        </w:rPr>
        <w:t>on</w:t>
      </w:r>
      <w:proofErr w:type="gramEnd"/>
      <w:r w:rsidR="00FB1383" w:rsidRPr="004E3274">
        <w:rPr>
          <w:rFonts w:ascii="Arial" w:hAnsi="Arial" w:cs="Arial"/>
        </w:rPr>
        <w:t xml:space="preserve"> pause all year waiting for the tariff and inflation outlook to </w:t>
      </w:r>
      <w:r w:rsidR="00FB1383">
        <w:rPr>
          <w:rFonts w:ascii="Arial" w:hAnsi="Arial" w:cs="Arial"/>
        </w:rPr>
        <w:t>crystallize. It turns out the final necessary nudge came the increasingly soft job market data, while the inflation outlook remains a tad murky.</w:t>
      </w:r>
    </w:p>
    <w:p w14:paraId="3FD3D9D3" w14:textId="4B0CB017" w:rsidR="00FB1383" w:rsidRDefault="00FB1383" w:rsidP="00FB1383">
      <w:pPr>
        <w:spacing w:after="0"/>
        <w:rPr>
          <w:rFonts w:ascii="Arial" w:hAnsi="Arial" w:cs="Arial"/>
          <w:b/>
          <w:bCs/>
        </w:rPr>
      </w:pPr>
    </w:p>
    <w:p w14:paraId="60319C33" w14:textId="42C8444E" w:rsidR="00FB1383" w:rsidRDefault="00FB1383" w:rsidP="004853CA">
      <w:pPr>
        <w:spacing w:after="0"/>
        <w:rPr>
          <w:rFonts w:ascii="Arial" w:hAnsi="Arial" w:cs="Arial"/>
        </w:rPr>
      </w:pPr>
    </w:p>
    <w:p w14:paraId="08433F9B" w14:textId="225166A2" w:rsidR="00FB1383" w:rsidRPr="004853CA" w:rsidRDefault="00FB1383" w:rsidP="004853CA">
      <w:pPr>
        <w:spacing w:after="0"/>
        <w:rPr>
          <w:rFonts w:ascii="Arial" w:hAnsi="Arial" w:cs="Arial"/>
        </w:rPr>
      </w:pPr>
    </w:p>
    <w:p w14:paraId="67A8E257" w14:textId="77777777" w:rsidR="00891D0C" w:rsidRDefault="00891D0C" w:rsidP="003E38E6">
      <w:pPr>
        <w:spacing w:after="0"/>
        <w:rPr>
          <w:rFonts w:ascii="Arial" w:hAnsi="Arial" w:cs="Arial"/>
          <w:b/>
          <w:bCs/>
          <w:i/>
          <w:iCs/>
        </w:rPr>
      </w:pPr>
    </w:p>
    <w:p w14:paraId="0008FDC8" w14:textId="77777777" w:rsidR="00891D0C" w:rsidRDefault="00891D0C" w:rsidP="003E38E6">
      <w:pPr>
        <w:spacing w:after="0"/>
        <w:rPr>
          <w:rFonts w:ascii="Arial" w:hAnsi="Arial" w:cs="Arial"/>
          <w:b/>
          <w:bCs/>
          <w:i/>
          <w:iCs/>
        </w:rPr>
      </w:pPr>
    </w:p>
    <w:p w14:paraId="5B4C79CB" w14:textId="55001A97" w:rsidR="003E38E6" w:rsidRPr="00891D0C" w:rsidRDefault="006C2577" w:rsidP="003E38E6">
      <w:pPr>
        <w:spacing w:after="0"/>
        <w:rPr>
          <w:rFonts w:ascii="Arial" w:hAnsi="Arial" w:cs="Arial"/>
          <w:b/>
          <w:bCs/>
          <w:i/>
          <w:iCs/>
        </w:rPr>
      </w:pPr>
      <w:r w:rsidRPr="00891D0C">
        <w:rPr>
          <w:rFonts w:ascii="Arial" w:hAnsi="Arial" w:cs="Arial"/>
          <w:b/>
          <w:bCs/>
          <w:i/>
          <w:iCs/>
        </w:rPr>
        <w:lastRenderedPageBreak/>
        <w:t>Heading Down the Homestretch</w:t>
      </w:r>
    </w:p>
    <w:p w14:paraId="4DDF29D9" w14:textId="6B70708A" w:rsidR="00863AF9" w:rsidRDefault="00863AF9" w:rsidP="003E38E6">
      <w:pPr>
        <w:spacing w:after="0"/>
        <w:rPr>
          <w:rFonts w:ascii="Arial" w:hAnsi="Arial" w:cs="Arial"/>
        </w:rPr>
      </w:pPr>
    </w:p>
    <w:p w14:paraId="45AE69AF" w14:textId="46A8A126" w:rsidR="00863AF9" w:rsidRDefault="00863AF9" w:rsidP="00863AF9">
      <w:pPr>
        <w:spacing w:after="0"/>
        <w:rPr>
          <w:rFonts w:ascii="Arial" w:hAnsi="Arial" w:cs="Arial"/>
        </w:rPr>
      </w:pPr>
      <w:r>
        <w:rPr>
          <w:rFonts w:ascii="Arial" w:hAnsi="Arial" w:cs="Arial"/>
        </w:rPr>
        <w:t>As we head into fall, the big question is will things continue to be “normal”? And what exactly would a normal market look like through year end?</w:t>
      </w:r>
    </w:p>
    <w:p w14:paraId="4F192B9A" w14:textId="77777777" w:rsidR="00863AF9" w:rsidRDefault="00863AF9" w:rsidP="00863AF9">
      <w:pPr>
        <w:spacing w:after="0"/>
        <w:rPr>
          <w:rFonts w:ascii="Arial" w:hAnsi="Arial" w:cs="Arial"/>
        </w:rPr>
      </w:pPr>
    </w:p>
    <w:p w14:paraId="13AA824C" w14:textId="72AB85F2" w:rsidR="00863AF9" w:rsidRDefault="00863AF9" w:rsidP="00863AF9">
      <w:pPr>
        <w:spacing w:after="0"/>
        <w:rPr>
          <w:rFonts w:ascii="Arial" w:hAnsi="Arial" w:cs="Arial"/>
        </w:rPr>
      </w:pPr>
      <w:r>
        <w:rPr>
          <w:rFonts w:ascii="Arial" w:hAnsi="Arial" w:cs="Arial"/>
        </w:rPr>
        <w:t xml:space="preserve">The rally from April lows in the S&amp;P ranks among the biggest </w:t>
      </w:r>
      <w:r w:rsidR="00D84FC4">
        <w:rPr>
          <w:rFonts w:ascii="Arial" w:hAnsi="Arial" w:cs="Arial"/>
        </w:rPr>
        <w:t>100-day</w:t>
      </w:r>
      <w:r>
        <w:rPr>
          <w:rFonts w:ascii="Arial" w:hAnsi="Arial" w:cs="Arial"/>
        </w:rPr>
        <w:t xml:space="preserve"> rallies in stock market history. </w:t>
      </w:r>
      <w:r w:rsidR="00553F98">
        <w:rPr>
          <w:rFonts w:ascii="Arial" w:hAnsi="Arial" w:cs="Arial"/>
        </w:rPr>
        <w:t xml:space="preserve">Therefore, </w:t>
      </w:r>
      <w:r w:rsidR="00BC49C2">
        <w:rPr>
          <w:rFonts w:ascii="Arial" w:hAnsi="Arial" w:cs="Arial"/>
        </w:rPr>
        <w:t xml:space="preserve">as we </w:t>
      </w:r>
      <w:r w:rsidR="001216B1">
        <w:rPr>
          <w:rFonts w:ascii="Arial" w:hAnsi="Arial" w:cs="Arial"/>
        </w:rPr>
        <w:t xml:space="preserve">move into the </w:t>
      </w:r>
      <w:r w:rsidR="00033D1B">
        <w:rPr>
          <w:rFonts w:ascii="Arial" w:hAnsi="Arial" w:cs="Arial"/>
        </w:rPr>
        <w:t>remainder of the year</w:t>
      </w:r>
      <w:r w:rsidR="00BC49C2">
        <w:rPr>
          <w:rFonts w:ascii="Arial" w:hAnsi="Arial" w:cs="Arial"/>
        </w:rPr>
        <w:t>, we remain</w:t>
      </w:r>
      <w:r w:rsidR="00033D1B">
        <w:rPr>
          <w:rFonts w:ascii="Arial" w:hAnsi="Arial" w:cs="Arial"/>
        </w:rPr>
        <w:t xml:space="preserve"> as</w:t>
      </w:r>
      <w:r w:rsidR="00BC49C2">
        <w:rPr>
          <w:rFonts w:ascii="Arial" w:hAnsi="Arial" w:cs="Arial"/>
        </w:rPr>
        <w:t xml:space="preserve"> diligent </w:t>
      </w:r>
      <w:r w:rsidR="00033D1B">
        <w:rPr>
          <w:rFonts w:ascii="Arial" w:hAnsi="Arial" w:cs="Arial"/>
        </w:rPr>
        <w:t xml:space="preserve">as ever </w:t>
      </w:r>
      <w:r w:rsidR="001216B1">
        <w:rPr>
          <w:rFonts w:ascii="Arial" w:hAnsi="Arial" w:cs="Arial"/>
        </w:rPr>
        <w:t>with our positioning</w:t>
      </w:r>
      <w:r w:rsidR="005D178D">
        <w:rPr>
          <w:rFonts w:ascii="Arial" w:hAnsi="Arial" w:cs="Arial"/>
        </w:rPr>
        <w:t xml:space="preserve"> and strategies</w:t>
      </w:r>
      <w:r>
        <w:rPr>
          <w:rFonts w:ascii="Arial" w:hAnsi="Arial" w:cs="Arial"/>
        </w:rPr>
        <w:t xml:space="preserve">. </w:t>
      </w:r>
      <w:r w:rsidR="006F2D08">
        <w:rPr>
          <w:rFonts w:ascii="Arial" w:hAnsi="Arial" w:cs="Arial"/>
        </w:rPr>
        <w:t>G</w:t>
      </w:r>
      <w:r>
        <w:rPr>
          <w:rFonts w:ascii="Arial" w:hAnsi="Arial" w:cs="Arial"/>
        </w:rPr>
        <w:t xml:space="preserve">iven the large number of big institutional investors who </w:t>
      </w:r>
      <w:r w:rsidR="001A7814">
        <w:rPr>
          <w:rFonts w:ascii="Arial" w:hAnsi="Arial" w:cs="Arial"/>
        </w:rPr>
        <w:t>have been</w:t>
      </w:r>
      <w:r>
        <w:rPr>
          <w:rFonts w:ascii="Arial" w:hAnsi="Arial" w:cs="Arial"/>
        </w:rPr>
        <w:t xml:space="preserve"> underweight stocks, and have watched this rally with skepticism, we expect any market decline to be short-lived. Valuations are </w:t>
      </w:r>
      <w:r w:rsidR="00206953">
        <w:rPr>
          <w:rFonts w:ascii="Arial" w:hAnsi="Arial" w:cs="Arial"/>
        </w:rPr>
        <w:t xml:space="preserve">currently </w:t>
      </w:r>
      <w:r w:rsidR="00DF187E">
        <w:rPr>
          <w:rFonts w:ascii="Arial" w:hAnsi="Arial" w:cs="Arial"/>
        </w:rPr>
        <w:t>on the lofty side</w:t>
      </w:r>
      <w:r>
        <w:rPr>
          <w:rFonts w:ascii="Arial" w:hAnsi="Arial" w:cs="Arial"/>
        </w:rPr>
        <w:t>, but with the Fed cutting rates that alone</w:t>
      </w:r>
      <w:r w:rsidR="00DF187E">
        <w:rPr>
          <w:rFonts w:ascii="Arial" w:hAnsi="Arial" w:cs="Arial"/>
        </w:rPr>
        <w:t xml:space="preserve"> likely</w:t>
      </w:r>
      <w:r>
        <w:rPr>
          <w:rFonts w:ascii="Arial" w:hAnsi="Arial" w:cs="Arial"/>
        </w:rPr>
        <w:t xml:space="preserve"> isn’t enough to derail the rally during the seasonally strong holiday </w:t>
      </w:r>
      <w:r w:rsidR="003E5D70">
        <w:rPr>
          <w:rFonts w:ascii="Arial" w:hAnsi="Arial" w:cs="Arial"/>
        </w:rPr>
        <w:t>quarter</w:t>
      </w:r>
      <w:r>
        <w:rPr>
          <w:rFonts w:ascii="Arial" w:hAnsi="Arial" w:cs="Arial"/>
        </w:rPr>
        <w:t xml:space="preserve">. </w:t>
      </w:r>
    </w:p>
    <w:p w14:paraId="0F555ECD" w14:textId="2AE8A264" w:rsidR="00863AF9" w:rsidRDefault="008D0D1B" w:rsidP="00863AF9">
      <w:pPr>
        <w:spacing w:after="0"/>
        <w:rPr>
          <w:rFonts w:ascii="Arial" w:hAnsi="Arial" w:cs="Arial"/>
        </w:rPr>
      </w:pPr>
      <w:r>
        <w:rPr>
          <w:rFonts w:ascii="Arial" w:hAnsi="Arial" w:cs="Arial"/>
          <w:noProof/>
        </w:rPr>
        <w:drawing>
          <wp:anchor distT="0" distB="0" distL="114300" distR="114300" simplePos="0" relativeHeight="251661312" behindDoc="1" locked="0" layoutInCell="1" allowOverlap="1" wp14:anchorId="39AA9737" wp14:editId="5CB05695">
            <wp:simplePos x="0" y="0"/>
            <wp:positionH relativeFrom="margin">
              <wp:posOffset>0</wp:posOffset>
            </wp:positionH>
            <wp:positionV relativeFrom="paragraph">
              <wp:posOffset>207010</wp:posOffset>
            </wp:positionV>
            <wp:extent cx="3867785" cy="2639695"/>
            <wp:effectExtent l="0" t="0" r="0" b="8255"/>
            <wp:wrapTight wrapText="bothSides">
              <wp:wrapPolygon edited="0">
                <wp:start x="0" y="0"/>
                <wp:lineTo x="0" y="21512"/>
                <wp:lineTo x="21490" y="21512"/>
                <wp:lineTo x="21490" y="0"/>
                <wp:lineTo x="0" y="0"/>
              </wp:wrapPolygon>
            </wp:wrapTight>
            <wp:docPr id="2111968007" name="Picture 5" descr="A graph of a growing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968007" name="Picture 5" descr="A graph of a growing graph&#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67785" cy="2639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2292FF" w14:textId="77777777" w:rsidR="00863AF9" w:rsidRDefault="00863AF9" w:rsidP="00863AF9">
      <w:pPr>
        <w:spacing w:after="0"/>
        <w:rPr>
          <w:rFonts w:ascii="Arial" w:hAnsi="Arial" w:cs="Arial"/>
        </w:rPr>
      </w:pPr>
      <w:r>
        <w:rPr>
          <w:rFonts w:ascii="Arial" w:hAnsi="Arial" w:cs="Arial"/>
        </w:rPr>
        <w:t>The US economy and the American consumer continue to surpass expectations</w:t>
      </w:r>
      <w:r w:rsidRPr="000E5284">
        <w:rPr>
          <w:rFonts w:ascii="Arial" w:hAnsi="Arial" w:cs="Arial"/>
          <w:i/>
          <w:iCs/>
        </w:rPr>
        <w:t>.</w:t>
      </w:r>
      <w:r>
        <w:rPr>
          <w:rFonts w:ascii="Arial" w:hAnsi="Arial" w:cs="Arial"/>
        </w:rPr>
        <w:t xml:space="preserve"> GDP remains on track for roughly 2% annual growth, driven higher by a massive investment cycle in AI data centers. Consumers are cautious but continue to spend albeit more selectively. The broader economy has yet to really pull out of the doldrums, but the new tax incentives from the Big Beautiful Bill should spur a wave of new investment in the US by early next year. Tariff uncertainty seems predominantly behind us, and hopefully that will give business leaders more confidence to invest in both their plants and their workers. The weakness in the overall job market, especially the hiring of new employees, may have been a consequence of this uncertainty and is hopefully behind us.</w:t>
      </w:r>
    </w:p>
    <w:p w14:paraId="1E6E2724" w14:textId="27FD284E" w:rsidR="00863AF9" w:rsidRDefault="00863AF9" w:rsidP="00863AF9">
      <w:pPr>
        <w:spacing w:after="0"/>
        <w:rPr>
          <w:rFonts w:ascii="Arial" w:hAnsi="Arial" w:cs="Arial"/>
        </w:rPr>
      </w:pPr>
    </w:p>
    <w:p w14:paraId="02E05624" w14:textId="35FFED89" w:rsidR="00863AF9" w:rsidRDefault="008D0D1B" w:rsidP="00863AF9">
      <w:pPr>
        <w:spacing w:after="0"/>
        <w:rPr>
          <w:rFonts w:ascii="Arial" w:hAnsi="Arial" w:cs="Arial"/>
        </w:rPr>
      </w:pPr>
      <w:r>
        <w:rPr>
          <w:rFonts w:ascii="Arial" w:hAnsi="Arial" w:cs="Arial"/>
          <w:noProof/>
        </w:rPr>
        <w:drawing>
          <wp:anchor distT="0" distB="0" distL="114300" distR="114300" simplePos="0" relativeHeight="251665408" behindDoc="1" locked="0" layoutInCell="1" allowOverlap="1" wp14:anchorId="048C3E9A" wp14:editId="3357531D">
            <wp:simplePos x="0" y="0"/>
            <wp:positionH relativeFrom="margin">
              <wp:align>right</wp:align>
            </wp:positionH>
            <wp:positionV relativeFrom="paragraph">
              <wp:posOffset>11430</wp:posOffset>
            </wp:positionV>
            <wp:extent cx="4164965" cy="2842260"/>
            <wp:effectExtent l="0" t="0" r="6985" b="0"/>
            <wp:wrapTight wrapText="bothSides">
              <wp:wrapPolygon edited="0">
                <wp:start x="0" y="0"/>
                <wp:lineTo x="0" y="21426"/>
                <wp:lineTo x="21537" y="21426"/>
                <wp:lineTo x="21537" y="0"/>
                <wp:lineTo x="0" y="0"/>
              </wp:wrapPolygon>
            </wp:wrapTight>
            <wp:docPr id="1222389039" name="Picture 4" descr="A graph of a graph with numbers and a number of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389039" name="Picture 4" descr="A graph of a graph with numbers and a number of bar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64965" cy="2842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3AF9">
        <w:rPr>
          <w:rFonts w:ascii="Arial" w:hAnsi="Arial" w:cs="Arial"/>
        </w:rPr>
        <w:t xml:space="preserve">Now that the Fed has started a new rate cutting cycle, we would anticipate another one or two quarter point moves, with more likely in the first half of 2026. Unfortunately, we are not convinced that lower short-term rates will translate into similar moves </w:t>
      </w:r>
      <w:proofErr w:type="gramStart"/>
      <w:r w:rsidR="00863AF9">
        <w:rPr>
          <w:rFonts w:ascii="Arial" w:hAnsi="Arial" w:cs="Arial"/>
        </w:rPr>
        <w:t>in</w:t>
      </w:r>
      <w:proofErr w:type="gramEnd"/>
      <w:r w:rsidR="00863AF9">
        <w:rPr>
          <w:rFonts w:ascii="Arial" w:hAnsi="Arial" w:cs="Arial"/>
        </w:rPr>
        <w:t xml:space="preserve"> the long end of the treasury curve. With inflation sticky around 3% and deficits </w:t>
      </w:r>
      <w:r w:rsidR="00FD2B54">
        <w:rPr>
          <w:rFonts w:ascii="Arial" w:hAnsi="Arial" w:cs="Arial"/>
        </w:rPr>
        <w:t>as high as they are</w:t>
      </w:r>
      <w:r w:rsidR="00863AF9">
        <w:rPr>
          <w:rFonts w:ascii="Arial" w:hAnsi="Arial" w:cs="Arial"/>
        </w:rPr>
        <w:t xml:space="preserve">, the 10-year rate is likely to stay </w:t>
      </w:r>
      <w:r w:rsidR="00C7656B">
        <w:rPr>
          <w:rFonts w:ascii="Arial" w:hAnsi="Arial" w:cs="Arial"/>
        </w:rPr>
        <w:t>around the</w:t>
      </w:r>
      <w:r w:rsidR="00863AF9">
        <w:rPr>
          <w:rFonts w:ascii="Arial" w:hAnsi="Arial" w:cs="Arial"/>
        </w:rPr>
        <w:t xml:space="preserve"> 4% </w:t>
      </w:r>
      <w:r w:rsidR="00C7656B">
        <w:rPr>
          <w:rFonts w:ascii="Arial" w:hAnsi="Arial" w:cs="Arial"/>
        </w:rPr>
        <w:t xml:space="preserve">level </w:t>
      </w:r>
      <w:r w:rsidR="00863AF9">
        <w:rPr>
          <w:rFonts w:ascii="Arial" w:hAnsi="Arial" w:cs="Arial"/>
        </w:rPr>
        <w:t xml:space="preserve">which also means that mortgage rates </w:t>
      </w:r>
      <w:r w:rsidR="00C7656B">
        <w:rPr>
          <w:rFonts w:ascii="Arial" w:hAnsi="Arial" w:cs="Arial"/>
        </w:rPr>
        <w:t xml:space="preserve">may not </w:t>
      </w:r>
      <w:r w:rsidR="00791F40">
        <w:rPr>
          <w:rFonts w:ascii="Arial" w:hAnsi="Arial" w:cs="Arial"/>
        </w:rPr>
        <w:t>change substantially</w:t>
      </w:r>
      <w:r w:rsidR="00863AF9">
        <w:rPr>
          <w:rFonts w:ascii="Arial" w:hAnsi="Arial" w:cs="Arial"/>
        </w:rPr>
        <w:t>.</w:t>
      </w:r>
    </w:p>
    <w:p w14:paraId="7355502F" w14:textId="77777777" w:rsidR="00863AF9" w:rsidRDefault="00863AF9" w:rsidP="00863AF9">
      <w:pPr>
        <w:spacing w:after="0"/>
        <w:rPr>
          <w:rFonts w:ascii="Arial" w:hAnsi="Arial" w:cs="Arial"/>
        </w:rPr>
      </w:pPr>
    </w:p>
    <w:p w14:paraId="2AF20241" w14:textId="48837C0D" w:rsidR="00863AF9" w:rsidRDefault="00863AF9" w:rsidP="00863AF9">
      <w:pPr>
        <w:spacing w:after="0"/>
        <w:rPr>
          <w:rFonts w:ascii="Arial" w:hAnsi="Arial" w:cs="Arial"/>
        </w:rPr>
      </w:pPr>
      <w:r>
        <w:rPr>
          <w:rFonts w:ascii="Arial" w:hAnsi="Arial" w:cs="Arial"/>
        </w:rPr>
        <w:lastRenderedPageBreak/>
        <w:t xml:space="preserve">The resumption of the Fed rate cut cycle has renewed enthusiasm for the more interest sensitive cyclical, but we view this part of the market with some caution. Concerns related to a potential growth slowdown could derail these parts of the market, and despite their strong performance we still prefer </w:t>
      </w:r>
      <w:r w:rsidR="00891D0C">
        <w:rPr>
          <w:rFonts w:ascii="Arial" w:hAnsi="Arial" w:cs="Arial"/>
        </w:rPr>
        <w:t>secular</w:t>
      </w:r>
      <w:r>
        <w:rPr>
          <w:rFonts w:ascii="Arial" w:hAnsi="Arial" w:cs="Arial"/>
        </w:rPr>
        <w:t xml:space="preserve"> growth in AI-related Tech and Communication Services companies. The resurgence in mergers &amp; acquisitions, as well as a revival in the IPO market will benefit </w:t>
      </w:r>
      <w:r w:rsidR="00891D0C">
        <w:rPr>
          <w:rFonts w:ascii="Arial" w:hAnsi="Arial" w:cs="Arial"/>
        </w:rPr>
        <w:t>financial</w:t>
      </w:r>
      <w:r>
        <w:rPr>
          <w:rFonts w:ascii="Arial" w:hAnsi="Arial" w:cs="Arial"/>
        </w:rPr>
        <w:t xml:space="preserve"> sector companies with exposure to these capital markets. We also remain constructive on International Equities, as we expect that dollar weakness will continue for now. Keeping with that premise, we have selectively added exposure to Emerging Market stocks as well.</w:t>
      </w:r>
    </w:p>
    <w:p w14:paraId="214D46AA" w14:textId="77777777" w:rsidR="00863AF9" w:rsidRDefault="00863AF9" w:rsidP="00863AF9">
      <w:pPr>
        <w:spacing w:after="0"/>
        <w:rPr>
          <w:rFonts w:ascii="Arial" w:hAnsi="Arial" w:cs="Arial"/>
        </w:rPr>
      </w:pPr>
    </w:p>
    <w:p w14:paraId="2C9CB370" w14:textId="77777777" w:rsidR="00863AF9" w:rsidRDefault="00863AF9" w:rsidP="00863AF9">
      <w:pPr>
        <w:spacing w:after="0"/>
        <w:rPr>
          <w:rFonts w:ascii="Arial" w:hAnsi="Arial" w:cs="Arial"/>
        </w:rPr>
      </w:pPr>
      <w:r>
        <w:rPr>
          <w:rFonts w:ascii="Arial" w:hAnsi="Arial" w:cs="Arial"/>
        </w:rPr>
        <w:t xml:space="preserve">In our Fixed Income holdings, we remain focused on short to intermediate maturity bond funds. The additional yield from long-term bonds isn’t sufficient in our opinion to outweigh the risks from potentially higher rates. We also have limited exposure to credit risk via corporate bonds, as the spread between risk-free treasuries and corporate debt is near all-time low levels.  </w:t>
      </w:r>
    </w:p>
    <w:p w14:paraId="129C94B3" w14:textId="77777777" w:rsidR="00863AF9" w:rsidRDefault="00863AF9" w:rsidP="00863AF9">
      <w:pPr>
        <w:spacing w:after="0"/>
        <w:rPr>
          <w:rFonts w:ascii="Arial" w:hAnsi="Arial" w:cs="Arial"/>
        </w:rPr>
      </w:pPr>
    </w:p>
    <w:p w14:paraId="1C0155AB" w14:textId="77777777" w:rsidR="00863AF9" w:rsidRDefault="00863AF9" w:rsidP="00863AF9">
      <w:pPr>
        <w:spacing w:after="0"/>
        <w:rPr>
          <w:rFonts w:ascii="Arial" w:hAnsi="Arial" w:cs="Arial"/>
        </w:rPr>
      </w:pPr>
      <w:r>
        <w:rPr>
          <w:rFonts w:ascii="Arial" w:hAnsi="Arial" w:cs="Arial"/>
        </w:rPr>
        <w:t>So, what’s our outlook as we come around the final turn and dash towards the finish line on the 2025 market race? Well, if we continue to have “a normal year” then the prospects heading into year-end look pretty good. Since 1950 the S&amp;P 500 has returned 4.1% in the fourth quarter, often benefitting from a “Santa Clause” rally in December. While valuations are near historical highs, and some tariff uncertainties remain, we would expect the markets to finish the year on an optimistic note with the tailwinds from interest rate cuts by the Federal Reserve.</w:t>
      </w:r>
    </w:p>
    <w:p w14:paraId="7A405543" w14:textId="77777777" w:rsidR="00863AF9" w:rsidRDefault="00863AF9" w:rsidP="00863AF9">
      <w:pPr>
        <w:spacing w:after="0"/>
        <w:rPr>
          <w:rFonts w:ascii="Arial" w:hAnsi="Arial" w:cs="Arial"/>
        </w:rPr>
      </w:pPr>
    </w:p>
    <w:p w14:paraId="1113EADF" w14:textId="695F1B6C" w:rsidR="00863AF9" w:rsidRPr="00266C6C" w:rsidRDefault="00863AF9" w:rsidP="00863AF9">
      <w:pPr>
        <w:spacing w:after="0"/>
        <w:rPr>
          <w:rFonts w:ascii="Arial" w:hAnsi="Arial" w:cs="Arial"/>
        </w:rPr>
      </w:pPr>
      <w:r>
        <w:rPr>
          <w:rFonts w:ascii="Arial" w:hAnsi="Arial" w:cs="Arial"/>
        </w:rPr>
        <w:t>Regardless of whether we have a “normal” finish or not, I hope that you have a wonderful</w:t>
      </w:r>
      <w:r w:rsidR="002D2049">
        <w:rPr>
          <w:rFonts w:ascii="Arial" w:hAnsi="Arial" w:cs="Arial"/>
        </w:rPr>
        <w:t xml:space="preserve"> </w:t>
      </w:r>
      <w:r w:rsidR="002C66BD">
        <w:rPr>
          <w:rFonts w:ascii="Arial" w:hAnsi="Arial" w:cs="Arial"/>
        </w:rPr>
        <w:t xml:space="preserve">and enjoyable </w:t>
      </w:r>
      <w:r w:rsidR="002D2049">
        <w:rPr>
          <w:rFonts w:ascii="Arial" w:hAnsi="Arial" w:cs="Arial"/>
        </w:rPr>
        <w:t>holiday season</w:t>
      </w:r>
      <w:r>
        <w:rPr>
          <w:rFonts w:ascii="Arial" w:hAnsi="Arial" w:cs="Arial"/>
        </w:rPr>
        <w:t xml:space="preserve"> and I </w:t>
      </w:r>
      <w:r w:rsidR="00824533">
        <w:rPr>
          <w:rFonts w:ascii="Arial" w:hAnsi="Arial" w:cs="Arial"/>
        </w:rPr>
        <w:t xml:space="preserve">am grateful that you have entrusted </w:t>
      </w:r>
      <w:r w:rsidR="00C077E0">
        <w:rPr>
          <w:rFonts w:ascii="Arial" w:hAnsi="Arial" w:cs="Arial"/>
        </w:rPr>
        <w:t>the</w:t>
      </w:r>
      <w:r w:rsidR="00824533">
        <w:rPr>
          <w:rFonts w:ascii="Arial" w:hAnsi="Arial" w:cs="Arial"/>
        </w:rPr>
        <w:t xml:space="preserve"> Pinnacle </w:t>
      </w:r>
      <w:r w:rsidR="006C6605">
        <w:rPr>
          <w:rFonts w:ascii="Arial" w:hAnsi="Arial" w:cs="Arial"/>
        </w:rPr>
        <w:t xml:space="preserve">Consulting Group </w:t>
      </w:r>
      <w:r w:rsidR="00824533">
        <w:rPr>
          <w:rFonts w:ascii="Arial" w:hAnsi="Arial" w:cs="Arial"/>
        </w:rPr>
        <w:t>team</w:t>
      </w:r>
      <w:r>
        <w:rPr>
          <w:rFonts w:ascii="Arial" w:hAnsi="Arial" w:cs="Arial"/>
        </w:rPr>
        <w:t xml:space="preserve"> to help you achieve your financial goals. </w:t>
      </w:r>
    </w:p>
    <w:p w14:paraId="4F64B6CC" w14:textId="77777777" w:rsidR="007C1ED8" w:rsidRPr="004853CA" w:rsidRDefault="007C1ED8" w:rsidP="004853CA">
      <w:pPr>
        <w:spacing w:after="0"/>
        <w:rPr>
          <w:rFonts w:ascii="Arial" w:hAnsi="Arial" w:cs="Arial"/>
        </w:rPr>
      </w:pPr>
    </w:p>
    <w:p w14:paraId="3D1A1DB4" w14:textId="77777777" w:rsidR="00891D0C" w:rsidRDefault="00891D0C" w:rsidP="00D93DC2">
      <w:pPr>
        <w:rPr>
          <w:rFonts w:ascii="PT Serif" w:hAnsi="PT Serif"/>
          <w:b/>
          <w:bCs/>
        </w:rPr>
      </w:pPr>
    </w:p>
    <w:p w14:paraId="5133F0CE" w14:textId="73FC9CD9" w:rsidR="00D93DC2" w:rsidRPr="00026C26" w:rsidRDefault="00065A13" w:rsidP="00D93DC2">
      <w:pPr>
        <w:rPr>
          <w:rFonts w:ascii="PT Serif" w:hAnsi="PT Serif"/>
        </w:rPr>
      </w:pPr>
      <w:r>
        <w:rPr>
          <w:rFonts w:ascii="PT Serif" w:hAnsi="PT Serif"/>
          <w:b/>
          <w:bCs/>
        </w:rPr>
        <w:t>Don Garcia</w:t>
      </w:r>
    </w:p>
    <w:p w14:paraId="5F5E0195" w14:textId="77777777" w:rsidR="00EF75F9" w:rsidRDefault="00EF75F9">
      <w:pPr>
        <w:rPr>
          <w:rFonts w:ascii="PT Serif" w:hAnsi="PT Serif"/>
        </w:rPr>
      </w:pPr>
    </w:p>
    <w:p w14:paraId="4A280949" w14:textId="77777777" w:rsidR="00EF75F9" w:rsidRPr="00EF75F9" w:rsidRDefault="00EF75F9" w:rsidP="00EF75F9">
      <w:pPr>
        <w:rPr>
          <w:rFonts w:ascii="PT Serif" w:hAnsi="PT Serif"/>
          <w:sz w:val="20"/>
          <w:szCs w:val="20"/>
        </w:rPr>
      </w:pPr>
      <w:r w:rsidRPr="00EF75F9">
        <w:rPr>
          <w:rFonts w:ascii="PT Serif" w:hAnsi="PT Serif"/>
          <w:sz w:val="20"/>
          <w:szCs w:val="20"/>
        </w:rPr>
        <w:t xml:space="preserve">Securities and investment advisory services are offered through the firms: </w:t>
      </w:r>
      <w:proofErr w:type="spellStart"/>
      <w:r w:rsidRPr="00EF75F9">
        <w:rPr>
          <w:rFonts w:ascii="PT Serif" w:hAnsi="PT Serif"/>
          <w:sz w:val="20"/>
          <w:szCs w:val="20"/>
        </w:rPr>
        <w:t>Osaic</w:t>
      </w:r>
      <w:proofErr w:type="spellEnd"/>
      <w:r w:rsidRPr="00EF75F9">
        <w:rPr>
          <w:rFonts w:ascii="PT Serif" w:hAnsi="PT Serif"/>
          <w:sz w:val="20"/>
          <w:szCs w:val="20"/>
        </w:rPr>
        <w:t xml:space="preserve"> Wealth, Inc. and </w:t>
      </w:r>
      <w:proofErr w:type="spellStart"/>
      <w:r w:rsidRPr="00EF75F9">
        <w:rPr>
          <w:rFonts w:ascii="PT Serif" w:hAnsi="PT Serif"/>
          <w:sz w:val="20"/>
          <w:szCs w:val="20"/>
        </w:rPr>
        <w:t>Osaic</w:t>
      </w:r>
      <w:proofErr w:type="spellEnd"/>
      <w:r w:rsidRPr="00EF75F9">
        <w:rPr>
          <w:rFonts w:ascii="PT Serif" w:hAnsi="PT Serif"/>
          <w:sz w:val="20"/>
          <w:szCs w:val="20"/>
        </w:rPr>
        <w:t xml:space="preserve"> Institutions, Inc., broker-dealers, registered investment advisers, and members of FINRA and SIPC. Securities are offered through </w:t>
      </w:r>
      <w:proofErr w:type="spellStart"/>
      <w:r w:rsidRPr="00EF75F9">
        <w:rPr>
          <w:rFonts w:ascii="PT Serif" w:hAnsi="PT Serif"/>
          <w:sz w:val="20"/>
          <w:szCs w:val="20"/>
        </w:rPr>
        <w:t>Osaic</w:t>
      </w:r>
      <w:proofErr w:type="spellEnd"/>
      <w:r w:rsidRPr="00EF75F9">
        <w:rPr>
          <w:rFonts w:ascii="PT Serif" w:hAnsi="PT Serif"/>
          <w:sz w:val="20"/>
          <w:szCs w:val="20"/>
        </w:rPr>
        <w:t xml:space="preserve"> Services, Inc. and Ladenburg Thalmann &amp; Co., </w:t>
      </w:r>
      <w:proofErr w:type="gramStart"/>
      <w:r w:rsidRPr="00EF75F9">
        <w:rPr>
          <w:rFonts w:ascii="PT Serif" w:hAnsi="PT Serif"/>
          <w:sz w:val="20"/>
          <w:szCs w:val="20"/>
        </w:rPr>
        <w:t>broker-dealers</w:t>
      </w:r>
      <w:proofErr w:type="gramEnd"/>
      <w:r w:rsidRPr="00EF75F9">
        <w:rPr>
          <w:rFonts w:ascii="PT Serif" w:hAnsi="PT Serif"/>
          <w:sz w:val="20"/>
          <w:szCs w:val="20"/>
        </w:rPr>
        <w:t xml:space="preserve"> and members of FINRA and SIPC. Advisory services are offered through Ladenburg Thalmann Asset Management, Inc., and </w:t>
      </w:r>
      <w:proofErr w:type="spellStart"/>
      <w:r w:rsidRPr="00EF75F9">
        <w:rPr>
          <w:rFonts w:ascii="PT Serif" w:hAnsi="PT Serif"/>
          <w:sz w:val="20"/>
          <w:szCs w:val="20"/>
        </w:rPr>
        <w:t>Osaic</w:t>
      </w:r>
      <w:proofErr w:type="spellEnd"/>
      <w:r w:rsidRPr="00EF75F9">
        <w:rPr>
          <w:rFonts w:ascii="PT Serif" w:hAnsi="PT Serif"/>
          <w:sz w:val="20"/>
          <w:szCs w:val="20"/>
        </w:rPr>
        <w:t xml:space="preserve"> Advisory Services, LLC., registered investment advisers. Advisory programs offered by </w:t>
      </w:r>
      <w:proofErr w:type="spellStart"/>
      <w:r w:rsidRPr="00EF75F9">
        <w:rPr>
          <w:rFonts w:ascii="PT Serif" w:hAnsi="PT Serif"/>
          <w:sz w:val="20"/>
          <w:szCs w:val="20"/>
        </w:rPr>
        <w:t>Osaic</w:t>
      </w:r>
      <w:proofErr w:type="spellEnd"/>
      <w:r w:rsidRPr="00EF75F9">
        <w:rPr>
          <w:rFonts w:ascii="PT Serif" w:hAnsi="PT Serif"/>
          <w:sz w:val="20"/>
          <w:szCs w:val="20"/>
        </w:rPr>
        <w:t xml:space="preserve"> Wealth, Inc. are sponsored by VISION2020 Wealth Management Corp., an affiliated registered investment adviser. </w:t>
      </w:r>
    </w:p>
    <w:p w14:paraId="56967F1C" w14:textId="77777777" w:rsidR="00B02983" w:rsidRPr="00B02983" w:rsidRDefault="00B02983" w:rsidP="00B02983">
      <w:pPr>
        <w:rPr>
          <w:rFonts w:ascii="PT Serif" w:hAnsi="PT Serif"/>
          <w:sz w:val="20"/>
          <w:szCs w:val="20"/>
        </w:rPr>
      </w:pPr>
      <w:r w:rsidRPr="00B02983">
        <w:rPr>
          <w:rFonts w:ascii="PT Serif" w:hAnsi="PT Serif"/>
          <w:i/>
          <w:iCs/>
          <w:sz w:val="20"/>
          <w:szCs w:val="20"/>
        </w:rPr>
        <w:t>See </w:t>
      </w:r>
      <w:proofErr w:type="spellStart"/>
      <w:r w:rsidRPr="00B02983">
        <w:rPr>
          <w:rFonts w:ascii="PT Serif" w:hAnsi="PT Serif"/>
          <w:b/>
          <w:bCs/>
          <w:i/>
          <w:iCs/>
          <w:sz w:val="20"/>
          <w:szCs w:val="20"/>
        </w:rPr>
        <w:t>Osaic</w:t>
      </w:r>
      <w:proofErr w:type="spellEnd"/>
      <w:r w:rsidRPr="00B02983">
        <w:rPr>
          <w:rFonts w:ascii="PT Serif" w:hAnsi="PT Serif"/>
          <w:b/>
          <w:bCs/>
          <w:i/>
          <w:iCs/>
          <w:sz w:val="20"/>
          <w:szCs w:val="20"/>
        </w:rPr>
        <w:t xml:space="preserve"> Wealth’s</w:t>
      </w:r>
      <w:r w:rsidRPr="00B02983">
        <w:rPr>
          <w:rFonts w:ascii="PT Serif" w:hAnsi="PT Serif"/>
          <w:i/>
          <w:iCs/>
          <w:sz w:val="20"/>
          <w:szCs w:val="20"/>
        </w:rPr>
        <w:t> Form CRS Customer Relationship Summary, available </w:t>
      </w:r>
      <w:hyperlink r:id="rId12" w:history="1">
        <w:r w:rsidRPr="00B02983">
          <w:rPr>
            <w:rStyle w:val="Hyperlink"/>
            <w:rFonts w:ascii="PT Serif" w:hAnsi="PT Serif"/>
            <w:i/>
            <w:iCs/>
            <w:sz w:val="20"/>
            <w:szCs w:val="20"/>
          </w:rPr>
          <w:t>here</w:t>
        </w:r>
      </w:hyperlink>
      <w:hyperlink r:id="rId13" w:history="1">
        <w:r w:rsidRPr="00B02983">
          <w:rPr>
            <w:rStyle w:val="Hyperlink"/>
            <w:rFonts w:ascii="PT Serif" w:hAnsi="PT Serif"/>
            <w:i/>
            <w:iCs/>
            <w:sz w:val="20"/>
            <w:szCs w:val="20"/>
          </w:rPr>
          <w:t>,</w:t>
        </w:r>
      </w:hyperlink>
      <w:hyperlink r:id="rId14" w:history="1">
        <w:r w:rsidRPr="00B02983">
          <w:rPr>
            <w:rStyle w:val="Hyperlink"/>
            <w:rFonts w:ascii="PT Serif" w:hAnsi="PT Serif"/>
            <w:i/>
            <w:iCs/>
            <w:sz w:val="20"/>
            <w:szCs w:val="20"/>
          </w:rPr>
          <w:t> </w:t>
        </w:r>
      </w:hyperlink>
      <w:r w:rsidRPr="00B02983">
        <w:rPr>
          <w:rFonts w:ascii="PT Serif" w:hAnsi="PT Serif"/>
          <w:i/>
          <w:iCs/>
          <w:sz w:val="20"/>
          <w:szCs w:val="20"/>
        </w:rPr>
        <w:t>for succinct information about the relationships and services </w:t>
      </w:r>
      <w:proofErr w:type="spellStart"/>
      <w:r w:rsidRPr="00B02983">
        <w:rPr>
          <w:rFonts w:ascii="PT Serif" w:hAnsi="PT Serif"/>
          <w:b/>
          <w:bCs/>
          <w:i/>
          <w:iCs/>
          <w:sz w:val="20"/>
          <w:szCs w:val="20"/>
        </w:rPr>
        <w:t>Osaic</w:t>
      </w:r>
      <w:proofErr w:type="spellEnd"/>
      <w:r w:rsidRPr="00B02983">
        <w:rPr>
          <w:rFonts w:ascii="PT Serif" w:hAnsi="PT Serif"/>
          <w:b/>
          <w:bCs/>
          <w:i/>
          <w:iCs/>
          <w:sz w:val="20"/>
          <w:szCs w:val="20"/>
        </w:rPr>
        <w:t xml:space="preserve"> Wealth</w:t>
      </w:r>
      <w:r w:rsidRPr="00B02983">
        <w:rPr>
          <w:rFonts w:ascii="PT Serif" w:hAnsi="PT Serif"/>
          <w:i/>
          <w:iCs/>
          <w:sz w:val="20"/>
          <w:szCs w:val="20"/>
        </w:rPr>
        <w:t> offers to retail investors, related fees and </w:t>
      </w:r>
      <w:proofErr w:type="spellStart"/>
      <w:r w:rsidRPr="00B02983">
        <w:rPr>
          <w:rFonts w:ascii="PT Serif" w:hAnsi="PT Serif"/>
          <w:i/>
          <w:iCs/>
          <w:sz w:val="20"/>
          <w:szCs w:val="20"/>
        </w:rPr>
        <w:t>costs,specified</w:t>
      </w:r>
      <w:proofErr w:type="spellEnd"/>
      <w:r w:rsidRPr="00B02983">
        <w:rPr>
          <w:rFonts w:ascii="PT Serif" w:hAnsi="PT Serif"/>
          <w:i/>
          <w:iCs/>
          <w:sz w:val="20"/>
          <w:szCs w:val="20"/>
        </w:rPr>
        <w:t> conflicts of interest, standards of conduct, and disciplinary history, among other things. </w:t>
      </w:r>
      <w:proofErr w:type="spellStart"/>
      <w:r w:rsidRPr="00B02983">
        <w:rPr>
          <w:rFonts w:ascii="PT Serif" w:hAnsi="PT Serif"/>
          <w:b/>
          <w:bCs/>
          <w:i/>
          <w:iCs/>
          <w:sz w:val="20"/>
          <w:szCs w:val="20"/>
        </w:rPr>
        <w:t>Osaic</w:t>
      </w:r>
      <w:proofErr w:type="spellEnd"/>
      <w:r w:rsidRPr="00B02983">
        <w:rPr>
          <w:rFonts w:ascii="PT Serif" w:hAnsi="PT Serif"/>
          <w:b/>
          <w:bCs/>
          <w:i/>
          <w:iCs/>
          <w:sz w:val="20"/>
          <w:szCs w:val="20"/>
        </w:rPr>
        <w:t xml:space="preserve"> Wealth’s</w:t>
      </w:r>
      <w:r w:rsidRPr="00B02983">
        <w:rPr>
          <w:rFonts w:ascii="PT Serif" w:hAnsi="PT Serif"/>
          <w:i/>
          <w:iCs/>
          <w:sz w:val="20"/>
          <w:szCs w:val="20"/>
        </w:rPr>
        <w:t> Forms ADV, Part 2A, which describe </w:t>
      </w:r>
      <w:proofErr w:type="spellStart"/>
      <w:r w:rsidRPr="00B02983">
        <w:rPr>
          <w:rFonts w:ascii="PT Serif" w:hAnsi="PT Serif"/>
          <w:b/>
          <w:bCs/>
          <w:i/>
          <w:iCs/>
          <w:sz w:val="20"/>
          <w:szCs w:val="20"/>
        </w:rPr>
        <w:t>Osaic</w:t>
      </w:r>
      <w:proofErr w:type="spellEnd"/>
      <w:r w:rsidRPr="00B02983">
        <w:rPr>
          <w:rFonts w:ascii="PT Serif" w:hAnsi="PT Serif"/>
          <w:b/>
          <w:bCs/>
          <w:i/>
          <w:iCs/>
          <w:sz w:val="20"/>
          <w:szCs w:val="20"/>
        </w:rPr>
        <w:t xml:space="preserve"> Wealth’s</w:t>
      </w:r>
      <w:r w:rsidRPr="00B02983">
        <w:rPr>
          <w:rFonts w:ascii="PT Serif" w:hAnsi="PT Serif"/>
          <w:i/>
          <w:iCs/>
          <w:sz w:val="20"/>
          <w:szCs w:val="20"/>
        </w:rPr>
        <w:t> investment advisory services, Regulation BestInterest Disclosure Document, which describes </w:t>
      </w:r>
      <w:r w:rsidRPr="00B02983">
        <w:rPr>
          <w:rFonts w:ascii="PT Serif" w:hAnsi="PT Serif"/>
          <w:b/>
          <w:bCs/>
          <w:i/>
          <w:iCs/>
          <w:sz w:val="20"/>
          <w:szCs w:val="20"/>
        </w:rPr>
        <w:t>Osaic Wealth’s</w:t>
      </w:r>
      <w:r w:rsidRPr="00B02983">
        <w:rPr>
          <w:rFonts w:ascii="PT Serif" w:hAnsi="PT Serif"/>
          <w:i/>
          <w:iCs/>
          <w:sz w:val="20"/>
          <w:szCs w:val="20"/>
        </w:rPr>
        <w:t> broker-dealer services,</w:t>
      </w:r>
      <w:r w:rsidRPr="00B02983">
        <w:rPr>
          <w:rFonts w:ascii="PT Serif" w:hAnsi="PT Serif"/>
          <w:b/>
          <w:bCs/>
          <w:i/>
          <w:iCs/>
          <w:sz w:val="20"/>
          <w:szCs w:val="20"/>
        </w:rPr>
        <w:t> </w:t>
      </w:r>
      <w:r w:rsidRPr="00B02983">
        <w:rPr>
          <w:rFonts w:ascii="PT Serif" w:hAnsi="PT Serif"/>
          <w:i/>
          <w:iCs/>
          <w:sz w:val="20"/>
          <w:szCs w:val="20"/>
        </w:rPr>
        <w:t>and other client disclosure documents can be found </w:t>
      </w:r>
      <w:hyperlink r:id="rId15" w:history="1">
        <w:r w:rsidRPr="00B02983">
          <w:rPr>
            <w:rStyle w:val="Hyperlink"/>
            <w:rFonts w:ascii="PT Serif" w:hAnsi="PT Serif"/>
            <w:i/>
            <w:iCs/>
            <w:sz w:val="20"/>
            <w:szCs w:val="20"/>
          </w:rPr>
          <w:t>here</w:t>
        </w:r>
      </w:hyperlink>
      <w:hyperlink r:id="rId16" w:history="1">
        <w:r w:rsidRPr="00B02983">
          <w:rPr>
            <w:rStyle w:val="Hyperlink"/>
            <w:rFonts w:ascii="PT Serif" w:hAnsi="PT Serif"/>
            <w:i/>
            <w:iCs/>
            <w:sz w:val="20"/>
            <w:szCs w:val="20"/>
          </w:rPr>
          <w:t>.</w:t>
        </w:r>
      </w:hyperlink>
    </w:p>
    <w:p w14:paraId="7CF91FB1" w14:textId="15D2411E" w:rsidR="00EF75F9" w:rsidRPr="00B02983" w:rsidRDefault="00B02983" w:rsidP="00EF75F9">
      <w:pPr>
        <w:rPr>
          <w:rFonts w:ascii="PT Serif" w:hAnsi="PT Serif"/>
          <w:sz w:val="18"/>
          <w:szCs w:val="18"/>
        </w:rPr>
      </w:pPr>
      <w:r w:rsidRPr="00B02983">
        <w:rPr>
          <w:rFonts w:ascii="PT Serif" w:hAnsi="PT Serif"/>
          <w:b/>
          <w:bCs/>
          <w:i/>
          <w:iCs/>
          <w:sz w:val="18"/>
          <w:szCs w:val="18"/>
        </w:rPr>
        <w:t>CRN-6020501-101223</w:t>
      </w:r>
    </w:p>
    <w:p w14:paraId="35AEE3B7" w14:textId="3D5857D7" w:rsidR="00EF75F9" w:rsidRPr="00B02983" w:rsidRDefault="00EF75F9" w:rsidP="00C556E3">
      <w:pPr>
        <w:rPr>
          <w:sz w:val="18"/>
          <w:szCs w:val="18"/>
        </w:rPr>
      </w:pPr>
      <w:r w:rsidRPr="00B02983">
        <w:rPr>
          <w:rFonts w:ascii="PT Serif" w:hAnsi="PT Serif"/>
          <w:sz w:val="18"/>
          <w:szCs w:val="18"/>
        </w:rPr>
        <w:t xml:space="preserve">© </w:t>
      </w:r>
      <w:proofErr w:type="spellStart"/>
      <w:r w:rsidRPr="00B02983">
        <w:rPr>
          <w:rFonts w:ascii="PT Serif" w:hAnsi="PT Serif"/>
          <w:sz w:val="18"/>
          <w:szCs w:val="18"/>
        </w:rPr>
        <w:t>Osaic</w:t>
      </w:r>
      <w:proofErr w:type="spellEnd"/>
      <w:r w:rsidRPr="00B02983">
        <w:rPr>
          <w:rFonts w:ascii="PT Serif" w:hAnsi="PT Serif"/>
          <w:sz w:val="18"/>
          <w:szCs w:val="18"/>
        </w:rPr>
        <w:t xml:space="preserve">, Inc.  •  </w:t>
      </w:r>
      <w:hyperlink r:id="rId17" w:history="1">
        <w:r w:rsidRPr="00B02983">
          <w:rPr>
            <w:rStyle w:val="Hyperlink"/>
            <w:rFonts w:ascii="PT Serif" w:hAnsi="PT Serif"/>
            <w:sz w:val="18"/>
            <w:szCs w:val="18"/>
          </w:rPr>
          <w:t>osaic.com</w:t>
        </w:r>
      </w:hyperlink>
    </w:p>
    <w:sectPr w:rsidR="00EF75F9" w:rsidRPr="00B02983" w:rsidSect="008D0D1B">
      <w:footerReference w:type="default" r:id="rId18"/>
      <w:pgSz w:w="12240" w:h="15840"/>
      <w:pgMar w:top="720" w:right="720" w:bottom="720" w:left="720" w:header="720" w:footer="720" w:gutter="0"/>
      <w:pgBorders w:offsetFrom="page">
        <w:top w:val="threeDEmboss" w:sz="24" w:space="24" w:color="D86DCB" w:themeColor="accent5" w:themeTint="99"/>
        <w:left w:val="threeDEmboss" w:sz="24" w:space="24" w:color="D86DCB" w:themeColor="accent5" w:themeTint="99"/>
        <w:bottom w:val="threeDEngrave" w:sz="24" w:space="24" w:color="D86DCB" w:themeColor="accent5" w:themeTint="99"/>
        <w:right w:val="threeDEngrave" w:sz="24" w:space="24" w:color="D86DCB" w:themeColor="accent5"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3A00D" w14:textId="77777777" w:rsidR="00487987" w:rsidRDefault="00487987" w:rsidP="00455472">
      <w:pPr>
        <w:spacing w:after="0" w:line="240" w:lineRule="auto"/>
      </w:pPr>
      <w:r>
        <w:separator/>
      </w:r>
    </w:p>
  </w:endnote>
  <w:endnote w:type="continuationSeparator" w:id="0">
    <w:p w14:paraId="0979E0A3" w14:textId="77777777" w:rsidR="00487987" w:rsidRDefault="00487987" w:rsidP="00455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00"/>
    <w:family w:val="roman"/>
    <w:pitch w:val="variable"/>
    <w:sig w:usb0="A00002E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0B36F" w14:textId="77777777" w:rsidR="00EF75F9" w:rsidRDefault="00EF75F9" w:rsidP="00B4739D">
    <w:pPr>
      <w:pStyle w:val="Footer"/>
      <w:jc w:val="right"/>
      <w:rPr>
        <w:rFonts w:ascii="PT Serif" w:hAnsi="PT Serif"/>
        <w:sz w:val="16"/>
        <w:szCs w:val="16"/>
      </w:rPr>
    </w:pPr>
  </w:p>
  <w:p w14:paraId="1655D4AF" w14:textId="1DA7E645" w:rsidR="00B4739D" w:rsidRPr="00B4739D" w:rsidRDefault="00B4739D" w:rsidP="00B4739D">
    <w:pPr>
      <w:pStyle w:val="Footer"/>
      <w:jc w:val="right"/>
      <w:rPr>
        <w:rFonts w:ascii="PT Serif" w:hAnsi="PT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19519" w14:textId="77777777" w:rsidR="00487987" w:rsidRDefault="00487987" w:rsidP="00455472">
      <w:pPr>
        <w:spacing w:after="0" w:line="240" w:lineRule="auto"/>
      </w:pPr>
      <w:r>
        <w:separator/>
      </w:r>
    </w:p>
  </w:footnote>
  <w:footnote w:type="continuationSeparator" w:id="0">
    <w:p w14:paraId="7CD24B76" w14:textId="77777777" w:rsidR="00487987" w:rsidRDefault="00487987" w:rsidP="00455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DC2"/>
    <w:rsid w:val="00002F29"/>
    <w:rsid w:val="00004AE0"/>
    <w:rsid w:val="00006C91"/>
    <w:rsid w:val="00013D4E"/>
    <w:rsid w:val="000149EF"/>
    <w:rsid w:val="00026C26"/>
    <w:rsid w:val="00027455"/>
    <w:rsid w:val="000276B1"/>
    <w:rsid w:val="00031DA9"/>
    <w:rsid w:val="00033D1B"/>
    <w:rsid w:val="00055AAC"/>
    <w:rsid w:val="00056019"/>
    <w:rsid w:val="00056343"/>
    <w:rsid w:val="00060CD2"/>
    <w:rsid w:val="000637B1"/>
    <w:rsid w:val="00065A13"/>
    <w:rsid w:val="00072501"/>
    <w:rsid w:val="000815C0"/>
    <w:rsid w:val="00086759"/>
    <w:rsid w:val="00091DF1"/>
    <w:rsid w:val="000949DF"/>
    <w:rsid w:val="00095F9D"/>
    <w:rsid w:val="000961DA"/>
    <w:rsid w:val="000962D9"/>
    <w:rsid w:val="0009793D"/>
    <w:rsid w:val="000A660C"/>
    <w:rsid w:val="000B1CEE"/>
    <w:rsid w:val="000C4A26"/>
    <w:rsid w:val="000C4CEE"/>
    <w:rsid w:val="000C5E88"/>
    <w:rsid w:val="000D22A8"/>
    <w:rsid w:val="000D2782"/>
    <w:rsid w:val="000D5894"/>
    <w:rsid w:val="000E6D7F"/>
    <w:rsid w:val="000F0663"/>
    <w:rsid w:val="000F28C8"/>
    <w:rsid w:val="000F3EF4"/>
    <w:rsid w:val="001138CB"/>
    <w:rsid w:val="00113B5C"/>
    <w:rsid w:val="00116232"/>
    <w:rsid w:val="001175CF"/>
    <w:rsid w:val="00117CBE"/>
    <w:rsid w:val="001216B1"/>
    <w:rsid w:val="00124A68"/>
    <w:rsid w:val="0012678B"/>
    <w:rsid w:val="0012763C"/>
    <w:rsid w:val="0013140A"/>
    <w:rsid w:val="00132641"/>
    <w:rsid w:val="00134032"/>
    <w:rsid w:val="00135AD6"/>
    <w:rsid w:val="00137C19"/>
    <w:rsid w:val="00140BD0"/>
    <w:rsid w:val="0014241A"/>
    <w:rsid w:val="0014319F"/>
    <w:rsid w:val="00144CEF"/>
    <w:rsid w:val="00151B1D"/>
    <w:rsid w:val="00160127"/>
    <w:rsid w:val="00165739"/>
    <w:rsid w:val="00172206"/>
    <w:rsid w:val="00173F48"/>
    <w:rsid w:val="00177C3B"/>
    <w:rsid w:val="00186964"/>
    <w:rsid w:val="00187A1B"/>
    <w:rsid w:val="00187CE2"/>
    <w:rsid w:val="00190402"/>
    <w:rsid w:val="001940A9"/>
    <w:rsid w:val="00197621"/>
    <w:rsid w:val="001A0B94"/>
    <w:rsid w:val="001A2E43"/>
    <w:rsid w:val="001A4016"/>
    <w:rsid w:val="001A7814"/>
    <w:rsid w:val="001A7DF1"/>
    <w:rsid w:val="001A7F98"/>
    <w:rsid w:val="001B0A40"/>
    <w:rsid w:val="001B4499"/>
    <w:rsid w:val="001B62EE"/>
    <w:rsid w:val="001C0893"/>
    <w:rsid w:val="001C3AFB"/>
    <w:rsid w:val="001C6F4F"/>
    <w:rsid w:val="001D50E0"/>
    <w:rsid w:val="001D51E8"/>
    <w:rsid w:val="001E0C1C"/>
    <w:rsid w:val="001E0C73"/>
    <w:rsid w:val="001E1BB1"/>
    <w:rsid w:val="001E3EE7"/>
    <w:rsid w:val="001E6282"/>
    <w:rsid w:val="001E694C"/>
    <w:rsid w:val="001E738B"/>
    <w:rsid w:val="001F391D"/>
    <w:rsid w:val="001F7C3A"/>
    <w:rsid w:val="00206953"/>
    <w:rsid w:val="002076E8"/>
    <w:rsid w:val="002118B1"/>
    <w:rsid w:val="00212F26"/>
    <w:rsid w:val="0021501E"/>
    <w:rsid w:val="00221F1D"/>
    <w:rsid w:val="002222DD"/>
    <w:rsid w:val="002263C5"/>
    <w:rsid w:val="002318F8"/>
    <w:rsid w:val="00232F7C"/>
    <w:rsid w:val="002402C2"/>
    <w:rsid w:val="00240991"/>
    <w:rsid w:val="002435FB"/>
    <w:rsid w:val="0024445A"/>
    <w:rsid w:val="00246F42"/>
    <w:rsid w:val="002500CE"/>
    <w:rsid w:val="0025027B"/>
    <w:rsid w:val="00252C5C"/>
    <w:rsid w:val="00252ECD"/>
    <w:rsid w:val="0025526B"/>
    <w:rsid w:val="0025662C"/>
    <w:rsid w:val="00257627"/>
    <w:rsid w:val="002578D9"/>
    <w:rsid w:val="00265D94"/>
    <w:rsid w:val="00266C6C"/>
    <w:rsid w:val="00271A80"/>
    <w:rsid w:val="00281CE8"/>
    <w:rsid w:val="00286F8A"/>
    <w:rsid w:val="002978CF"/>
    <w:rsid w:val="002A6589"/>
    <w:rsid w:val="002B290E"/>
    <w:rsid w:val="002B345B"/>
    <w:rsid w:val="002C0EB2"/>
    <w:rsid w:val="002C3C72"/>
    <w:rsid w:val="002C66BD"/>
    <w:rsid w:val="002C6B0F"/>
    <w:rsid w:val="002D2049"/>
    <w:rsid w:val="002D29BC"/>
    <w:rsid w:val="002E5C76"/>
    <w:rsid w:val="002E6A58"/>
    <w:rsid w:val="002F1D92"/>
    <w:rsid w:val="002F63D7"/>
    <w:rsid w:val="00304AF6"/>
    <w:rsid w:val="0030593C"/>
    <w:rsid w:val="003067E9"/>
    <w:rsid w:val="003109D5"/>
    <w:rsid w:val="00311F07"/>
    <w:rsid w:val="00321B18"/>
    <w:rsid w:val="0032263E"/>
    <w:rsid w:val="003237E2"/>
    <w:rsid w:val="00323C02"/>
    <w:rsid w:val="00342A5F"/>
    <w:rsid w:val="00346BB6"/>
    <w:rsid w:val="00350B47"/>
    <w:rsid w:val="00353DBB"/>
    <w:rsid w:val="00357BB6"/>
    <w:rsid w:val="003777AD"/>
    <w:rsid w:val="003801C2"/>
    <w:rsid w:val="003908EB"/>
    <w:rsid w:val="003937C3"/>
    <w:rsid w:val="003A0365"/>
    <w:rsid w:val="003A2A90"/>
    <w:rsid w:val="003A3311"/>
    <w:rsid w:val="003A6EE0"/>
    <w:rsid w:val="003B3821"/>
    <w:rsid w:val="003B56E9"/>
    <w:rsid w:val="003C185E"/>
    <w:rsid w:val="003C3DA1"/>
    <w:rsid w:val="003C564D"/>
    <w:rsid w:val="003D517C"/>
    <w:rsid w:val="003E38E6"/>
    <w:rsid w:val="003E55DC"/>
    <w:rsid w:val="003E5613"/>
    <w:rsid w:val="003E5D70"/>
    <w:rsid w:val="003F70B9"/>
    <w:rsid w:val="00401D68"/>
    <w:rsid w:val="004055B8"/>
    <w:rsid w:val="00406E12"/>
    <w:rsid w:val="00407ABB"/>
    <w:rsid w:val="00410D67"/>
    <w:rsid w:val="00411E5E"/>
    <w:rsid w:val="004138D2"/>
    <w:rsid w:val="00415E6B"/>
    <w:rsid w:val="00417EFF"/>
    <w:rsid w:val="004215E4"/>
    <w:rsid w:val="00422B2E"/>
    <w:rsid w:val="00426DCD"/>
    <w:rsid w:val="0042766C"/>
    <w:rsid w:val="00433335"/>
    <w:rsid w:val="00441628"/>
    <w:rsid w:val="00443379"/>
    <w:rsid w:val="00450114"/>
    <w:rsid w:val="004517BE"/>
    <w:rsid w:val="00451CD0"/>
    <w:rsid w:val="00455472"/>
    <w:rsid w:val="00464AAF"/>
    <w:rsid w:val="004676B7"/>
    <w:rsid w:val="0047763F"/>
    <w:rsid w:val="0048027F"/>
    <w:rsid w:val="00484DBB"/>
    <w:rsid w:val="00485312"/>
    <w:rsid w:val="004853CA"/>
    <w:rsid w:val="00487987"/>
    <w:rsid w:val="00493D66"/>
    <w:rsid w:val="00495BD5"/>
    <w:rsid w:val="004A59DD"/>
    <w:rsid w:val="004B1DD2"/>
    <w:rsid w:val="004C2725"/>
    <w:rsid w:val="004D1093"/>
    <w:rsid w:val="004D314D"/>
    <w:rsid w:val="004D6E2B"/>
    <w:rsid w:val="004E366F"/>
    <w:rsid w:val="004E6581"/>
    <w:rsid w:val="004F12BA"/>
    <w:rsid w:val="004F7633"/>
    <w:rsid w:val="0050074A"/>
    <w:rsid w:val="00502F2C"/>
    <w:rsid w:val="005102B9"/>
    <w:rsid w:val="005132A6"/>
    <w:rsid w:val="005140A4"/>
    <w:rsid w:val="005233D2"/>
    <w:rsid w:val="00524D4C"/>
    <w:rsid w:val="00531F3C"/>
    <w:rsid w:val="00533DE5"/>
    <w:rsid w:val="00535B58"/>
    <w:rsid w:val="00537721"/>
    <w:rsid w:val="00542E35"/>
    <w:rsid w:val="00545C2F"/>
    <w:rsid w:val="00553F98"/>
    <w:rsid w:val="0055518D"/>
    <w:rsid w:val="00556415"/>
    <w:rsid w:val="00560DF8"/>
    <w:rsid w:val="00561DA7"/>
    <w:rsid w:val="0056357E"/>
    <w:rsid w:val="00565E18"/>
    <w:rsid w:val="005736B6"/>
    <w:rsid w:val="00574C45"/>
    <w:rsid w:val="005751EE"/>
    <w:rsid w:val="0057749C"/>
    <w:rsid w:val="00581FF8"/>
    <w:rsid w:val="00583A57"/>
    <w:rsid w:val="00596520"/>
    <w:rsid w:val="005A1ACE"/>
    <w:rsid w:val="005A3F17"/>
    <w:rsid w:val="005A691F"/>
    <w:rsid w:val="005A693D"/>
    <w:rsid w:val="005B41D8"/>
    <w:rsid w:val="005B5AEA"/>
    <w:rsid w:val="005C55AB"/>
    <w:rsid w:val="005D178D"/>
    <w:rsid w:val="005D2B13"/>
    <w:rsid w:val="005D2B99"/>
    <w:rsid w:val="005D4583"/>
    <w:rsid w:val="005D4B6D"/>
    <w:rsid w:val="005E0B41"/>
    <w:rsid w:val="005E5625"/>
    <w:rsid w:val="005E786A"/>
    <w:rsid w:val="005F2DF8"/>
    <w:rsid w:val="005F4C9D"/>
    <w:rsid w:val="0060394C"/>
    <w:rsid w:val="006109B5"/>
    <w:rsid w:val="00611C29"/>
    <w:rsid w:val="00614FE5"/>
    <w:rsid w:val="006251C9"/>
    <w:rsid w:val="006360EF"/>
    <w:rsid w:val="006371A9"/>
    <w:rsid w:val="0064106D"/>
    <w:rsid w:val="0064438C"/>
    <w:rsid w:val="00647098"/>
    <w:rsid w:val="006470CB"/>
    <w:rsid w:val="00647FE4"/>
    <w:rsid w:val="00661591"/>
    <w:rsid w:val="00664A4A"/>
    <w:rsid w:val="00664CDD"/>
    <w:rsid w:val="006677F5"/>
    <w:rsid w:val="006721AE"/>
    <w:rsid w:val="0067229F"/>
    <w:rsid w:val="00690202"/>
    <w:rsid w:val="00690A93"/>
    <w:rsid w:val="00691EC4"/>
    <w:rsid w:val="00694C67"/>
    <w:rsid w:val="00696C23"/>
    <w:rsid w:val="006979B0"/>
    <w:rsid w:val="00697B1A"/>
    <w:rsid w:val="006A2285"/>
    <w:rsid w:val="006A50F8"/>
    <w:rsid w:val="006A6A06"/>
    <w:rsid w:val="006A6F6C"/>
    <w:rsid w:val="006C0854"/>
    <w:rsid w:val="006C2577"/>
    <w:rsid w:val="006C4267"/>
    <w:rsid w:val="006C65D3"/>
    <w:rsid w:val="006C6605"/>
    <w:rsid w:val="006C702E"/>
    <w:rsid w:val="006D0412"/>
    <w:rsid w:val="006D1277"/>
    <w:rsid w:val="006D1E25"/>
    <w:rsid w:val="006D266F"/>
    <w:rsid w:val="006D41FA"/>
    <w:rsid w:val="006D5FC5"/>
    <w:rsid w:val="006D61F6"/>
    <w:rsid w:val="006D6C83"/>
    <w:rsid w:val="006E0C3E"/>
    <w:rsid w:val="006E540F"/>
    <w:rsid w:val="006F2D08"/>
    <w:rsid w:val="006F52F3"/>
    <w:rsid w:val="00701CA1"/>
    <w:rsid w:val="007048CA"/>
    <w:rsid w:val="0070573D"/>
    <w:rsid w:val="00711E42"/>
    <w:rsid w:val="007132E9"/>
    <w:rsid w:val="00721A1C"/>
    <w:rsid w:val="007306EC"/>
    <w:rsid w:val="0073324E"/>
    <w:rsid w:val="007351F1"/>
    <w:rsid w:val="00735BA3"/>
    <w:rsid w:val="00742528"/>
    <w:rsid w:val="00743CF9"/>
    <w:rsid w:val="00746746"/>
    <w:rsid w:val="00747BA7"/>
    <w:rsid w:val="00752DAC"/>
    <w:rsid w:val="00760A0D"/>
    <w:rsid w:val="007865C5"/>
    <w:rsid w:val="00790F95"/>
    <w:rsid w:val="00791F40"/>
    <w:rsid w:val="007A1FBE"/>
    <w:rsid w:val="007A394D"/>
    <w:rsid w:val="007B71DB"/>
    <w:rsid w:val="007C1ED8"/>
    <w:rsid w:val="007C251B"/>
    <w:rsid w:val="007C37C8"/>
    <w:rsid w:val="007C49FD"/>
    <w:rsid w:val="007D09B7"/>
    <w:rsid w:val="007D1426"/>
    <w:rsid w:val="007D27BF"/>
    <w:rsid w:val="007D44F8"/>
    <w:rsid w:val="007E61B1"/>
    <w:rsid w:val="00800A6F"/>
    <w:rsid w:val="00805514"/>
    <w:rsid w:val="00805DFF"/>
    <w:rsid w:val="00811AA9"/>
    <w:rsid w:val="008123E7"/>
    <w:rsid w:val="0081745E"/>
    <w:rsid w:val="00824533"/>
    <w:rsid w:val="008272B2"/>
    <w:rsid w:val="00832CF3"/>
    <w:rsid w:val="00837F27"/>
    <w:rsid w:val="008554B3"/>
    <w:rsid w:val="00860FAD"/>
    <w:rsid w:val="008621FB"/>
    <w:rsid w:val="00862D0A"/>
    <w:rsid w:val="008632EB"/>
    <w:rsid w:val="00863AF9"/>
    <w:rsid w:val="00873CB9"/>
    <w:rsid w:val="0088257D"/>
    <w:rsid w:val="00890258"/>
    <w:rsid w:val="00891D0C"/>
    <w:rsid w:val="00892ABC"/>
    <w:rsid w:val="00893E90"/>
    <w:rsid w:val="0089441F"/>
    <w:rsid w:val="008A37A0"/>
    <w:rsid w:val="008A51E6"/>
    <w:rsid w:val="008B37C0"/>
    <w:rsid w:val="008B5428"/>
    <w:rsid w:val="008B6B0C"/>
    <w:rsid w:val="008C0C35"/>
    <w:rsid w:val="008C7ED5"/>
    <w:rsid w:val="008C7F3D"/>
    <w:rsid w:val="008D0A91"/>
    <w:rsid w:val="008D0D1B"/>
    <w:rsid w:val="008D7A84"/>
    <w:rsid w:val="008E3C39"/>
    <w:rsid w:val="008F3664"/>
    <w:rsid w:val="00902492"/>
    <w:rsid w:val="00903B26"/>
    <w:rsid w:val="00903BAC"/>
    <w:rsid w:val="00906BF4"/>
    <w:rsid w:val="00907B8B"/>
    <w:rsid w:val="00912438"/>
    <w:rsid w:val="009131D1"/>
    <w:rsid w:val="00921AD9"/>
    <w:rsid w:val="00921C82"/>
    <w:rsid w:val="00921EB2"/>
    <w:rsid w:val="00921F50"/>
    <w:rsid w:val="00923AB3"/>
    <w:rsid w:val="0092680D"/>
    <w:rsid w:val="00934151"/>
    <w:rsid w:val="009407C5"/>
    <w:rsid w:val="00944A4A"/>
    <w:rsid w:val="00950836"/>
    <w:rsid w:val="0095755A"/>
    <w:rsid w:val="00957DB1"/>
    <w:rsid w:val="00962E8D"/>
    <w:rsid w:val="009733DB"/>
    <w:rsid w:val="009774BA"/>
    <w:rsid w:val="009A024B"/>
    <w:rsid w:val="009B1750"/>
    <w:rsid w:val="009B26BE"/>
    <w:rsid w:val="009B6B0E"/>
    <w:rsid w:val="009C53B2"/>
    <w:rsid w:val="009C72BF"/>
    <w:rsid w:val="009F38D1"/>
    <w:rsid w:val="00A0162A"/>
    <w:rsid w:val="00A107BC"/>
    <w:rsid w:val="00A10FC0"/>
    <w:rsid w:val="00A20BFA"/>
    <w:rsid w:val="00A27734"/>
    <w:rsid w:val="00A31DA3"/>
    <w:rsid w:val="00A32EEE"/>
    <w:rsid w:val="00A33AD3"/>
    <w:rsid w:val="00A405AE"/>
    <w:rsid w:val="00A416B2"/>
    <w:rsid w:val="00A473D5"/>
    <w:rsid w:val="00A6519A"/>
    <w:rsid w:val="00A74BF5"/>
    <w:rsid w:val="00A7646C"/>
    <w:rsid w:val="00A77B4D"/>
    <w:rsid w:val="00A80305"/>
    <w:rsid w:val="00A84170"/>
    <w:rsid w:val="00A8444A"/>
    <w:rsid w:val="00A8475C"/>
    <w:rsid w:val="00A86838"/>
    <w:rsid w:val="00A9322B"/>
    <w:rsid w:val="00AA3021"/>
    <w:rsid w:val="00AC0387"/>
    <w:rsid w:val="00AC580E"/>
    <w:rsid w:val="00AC73B8"/>
    <w:rsid w:val="00AD2C31"/>
    <w:rsid w:val="00AD36BB"/>
    <w:rsid w:val="00AD3BE0"/>
    <w:rsid w:val="00AE1D56"/>
    <w:rsid w:val="00AE28B5"/>
    <w:rsid w:val="00AE3D58"/>
    <w:rsid w:val="00AE66AA"/>
    <w:rsid w:val="00AE68D7"/>
    <w:rsid w:val="00AE7C7F"/>
    <w:rsid w:val="00AF4157"/>
    <w:rsid w:val="00AF47E9"/>
    <w:rsid w:val="00AF52A1"/>
    <w:rsid w:val="00AF71AA"/>
    <w:rsid w:val="00B02983"/>
    <w:rsid w:val="00B110F3"/>
    <w:rsid w:val="00B1684C"/>
    <w:rsid w:val="00B215DD"/>
    <w:rsid w:val="00B23C69"/>
    <w:rsid w:val="00B321DD"/>
    <w:rsid w:val="00B43D3D"/>
    <w:rsid w:val="00B43DC2"/>
    <w:rsid w:val="00B4591C"/>
    <w:rsid w:val="00B45F4B"/>
    <w:rsid w:val="00B472E1"/>
    <w:rsid w:val="00B4739D"/>
    <w:rsid w:val="00B5161C"/>
    <w:rsid w:val="00B519E6"/>
    <w:rsid w:val="00B529E6"/>
    <w:rsid w:val="00B53053"/>
    <w:rsid w:val="00B54D24"/>
    <w:rsid w:val="00B56FDD"/>
    <w:rsid w:val="00B6369A"/>
    <w:rsid w:val="00B717B4"/>
    <w:rsid w:val="00B75D4B"/>
    <w:rsid w:val="00B86BC6"/>
    <w:rsid w:val="00B87828"/>
    <w:rsid w:val="00B96723"/>
    <w:rsid w:val="00BA194E"/>
    <w:rsid w:val="00BA4541"/>
    <w:rsid w:val="00BA5194"/>
    <w:rsid w:val="00BA7A36"/>
    <w:rsid w:val="00BC49C2"/>
    <w:rsid w:val="00BD427B"/>
    <w:rsid w:val="00BE32A9"/>
    <w:rsid w:val="00BE475E"/>
    <w:rsid w:val="00BE549A"/>
    <w:rsid w:val="00BE69BC"/>
    <w:rsid w:val="00BE7C19"/>
    <w:rsid w:val="00BF3909"/>
    <w:rsid w:val="00BF69FB"/>
    <w:rsid w:val="00C01020"/>
    <w:rsid w:val="00C077E0"/>
    <w:rsid w:val="00C10090"/>
    <w:rsid w:val="00C23D1A"/>
    <w:rsid w:val="00C328EB"/>
    <w:rsid w:val="00C43CC1"/>
    <w:rsid w:val="00C459AC"/>
    <w:rsid w:val="00C50446"/>
    <w:rsid w:val="00C54CD5"/>
    <w:rsid w:val="00C556E3"/>
    <w:rsid w:val="00C56A73"/>
    <w:rsid w:val="00C7164C"/>
    <w:rsid w:val="00C7656B"/>
    <w:rsid w:val="00C97A24"/>
    <w:rsid w:val="00CB4412"/>
    <w:rsid w:val="00CB4DF2"/>
    <w:rsid w:val="00CC4ED4"/>
    <w:rsid w:val="00CC65B5"/>
    <w:rsid w:val="00CC6A12"/>
    <w:rsid w:val="00CD2882"/>
    <w:rsid w:val="00CD3CD5"/>
    <w:rsid w:val="00CE549A"/>
    <w:rsid w:val="00D01B9C"/>
    <w:rsid w:val="00D05F7E"/>
    <w:rsid w:val="00D067AB"/>
    <w:rsid w:val="00D0767D"/>
    <w:rsid w:val="00D17085"/>
    <w:rsid w:val="00D17D24"/>
    <w:rsid w:val="00D22C58"/>
    <w:rsid w:val="00D2413D"/>
    <w:rsid w:val="00D31D09"/>
    <w:rsid w:val="00D34AED"/>
    <w:rsid w:val="00D507E2"/>
    <w:rsid w:val="00D50A58"/>
    <w:rsid w:val="00D55EB8"/>
    <w:rsid w:val="00D6403C"/>
    <w:rsid w:val="00D7252D"/>
    <w:rsid w:val="00D762ED"/>
    <w:rsid w:val="00D84FC4"/>
    <w:rsid w:val="00D93DC2"/>
    <w:rsid w:val="00D94C04"/>
    <w:rsid w:val="00D955F0"/>
    <w:rsid w:val="00D97DB6"/>
    <w:rsid w:val="00DA31A6"/>
    <w:rsid w:val="00DA7C1C"/>
    <w:rsid w:val="00DB3DBE"/>
    <w:rsid w:val="00DD561F"/>
    <w:rsid w:val="00DD6E4F"/>
    <w:rsid w:val="00DE4FD1"/>
    <w:rsid w:val="00DE5590"/>
    <w:rsid w:val="00DE580A"/>
    <w:rsid w:val="00DF187E"/>
    <w:rsid w:val="00E01740"/>
    <w:rsid w:val="00E02847"/>
    <w:rsid w:val="00E04E06"/>
    <w:rsid w:val="00E073EB"/>
    <w:rsid w:val="00E14AC3"/>
    <w:rsid w:val="00E1583E"/>
    <w:rsid w:val="00E339F1"/>
    <w:rsid w:val="00E34C9F"/>
    <w:rsid w:val="00E357C9"/>
    <w:rsid w:val="00E4205E"/>
    <w:rsid w:val="00E53467"/>
    <w:rsid w:val="00E534E1"/>
    <w:rsid w:val="00E55771"/>
    <w:rsid w:val="00E57D7A"/>
    <w:rsid w:val="00E74BBA"/>
    <w:rsid w:val="00E77E83"/>
    <w:rsid w:val="00E8397F"/>
    <w:rsid w:val="00E86FC5"/>
    <w:rsid w:val="00E928B8"/>
    <w:rsid w:val="00E92DAE"/>
    <w:rsid w:val="00E94C3A"/>
    <w:rsid w:val="00EA2DC0"/>
    <w:rsid w:val="00EA5995"/>
    <w:rsid w:val="00EB31D6"/>
    <w:rsid w:val="00EB38D1"/>
    <w:rsid w:val="00ED0757"/>
    <w:rsid w:val="00EE07E8"/>
    <w:rsid w:val="00EF483C"/>
    <w:rsid w:val="00EF75F9"/>
    <w:rsid w:val="00F02117"/>
    <w:rsid w:val="00F02A03"/>
    <w:rsid w:val="00F04A09"/>
    <w:rsid w:val="00F06943"/>
    <w:rsid w:val="00F114A7"/>
    <w:rsid w:val="00F1358D"/>
    <w:rsid w:val="00F2021E"/>
    <w:rsid w:val="00F36708"/>
    <w:rsid w:val="00F4056F"/>
    <w:rsid w:val="00F430BB"/>
    <w:rsid w:val="00F47022"/>
    <w:rsid w:val="00F54B0E"/>
    <w:rsid w:val="00F611B3"/>
    <w:rsid w:val="00F65A3D"/>
    <w:rsid w:val="00F66849"/>
    <w:rsid w:val="00F66F14"/>
    <w:rsid w:val="00F66F8A"/>
    <w:rsid w:val="00F71C70"/>
    <w:rsid w:val="00F77DAE"/>
    <w:rsid w:val="00F815C1"/>
    <w:rsid w:val="00F91353"/>
    <w:rsid w:val="00FA57A2"/>
    <w:rsid w:val="00FB1383"/>
    <w:rsid w:val="00FB1A8B"/>
    <w:rsid w:val="00FB5208"/>
    <w:rsid w:val="00FC31BB"/>
    <w:rsid w:val="00FD2B54"/>
    <w:rsid w:val="00FD471E"/>
    <w:rsid w:val="00FD5D2F"/>
    <w:rsid w:val="00FE3BC2"/>
    <w:rsid w:val="00FE58B2"/>
    <w:rsid w:val="00FF3F1D"/>
    <w:rsid w:val="00FF54AE"/>
    <w:rsid w:val="00FF6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C5964"/>
  <w15:chartTrackingRefBased/>
  <w15:docId w15:val="{E83B8FCE-6269-4713-AF42-62B5B22D6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8E6"/>
  </w:style>
  <w:style w:type="paragraph" w:styleId="Heading1">
    <w:name w:val="heading 1"/>
    <w:basedOn w:val="Normal"/>
    <w:next w:val="Normal"/>
    <w:link w:val="Heading1Char"/>
    <w:uiPriority w:val="9"/>
    <w:qFormat/>
    <w:rsid w:val="00D93D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93D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3D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3D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3D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3D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3D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3D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3D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3D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93D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3D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3D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3D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3D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3D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3D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3DC2"/>
    <w:rPr>
      <w:rFonts w:eastAsiaTheme="majorEastAsia" w:cstheme="majorBidi"/>
      <w:color w:val="272727" w:themeColor="text1" w:themeTint="D8"/>
    </w:rPr>
  </w:style>
  <w:style w:type="paragraph" w:styleId="Title">
    <w:name w:val="Title"/>
    <w:basedOn w:val="Normal"/>
    <w:next w:val="Normal"/>
    <w:link w:val="TitleChar"/>
    <w:uiPriority w:val="10"/>
    <w:qFormat/>
    <w:rsid w:val="00D93D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3D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3D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3D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3DC2"/>
    <w:pPr>
      <w:spacing w:before="160"/>
      <w:jc w:val="center"/>
    </w:pPr>
    <w:rPr>
      <w:i/>
      <w:iCs/>
      <w:color w:val="404040" w:themeColor="text1" w:themeTint="BF"/>
    </w:rPr>
  </w:style>
  <w:style w:type="character" w:customStyle="1" w:styleId="QuoteChar">
    <w:name w:val="Quote Char"/>
    <w:basedOn w:val="DefaultParagraphFont"/>
    <w:link w:val="Quote"/>
    <w:uiPriority w:val="29"/>
    <w:rsid w:val="00D93DC2"/>
    <w:rPr>
      <w:i/>
      <w:iCs/>
      <w:color w:val="404040" w:themeColor="text1" w:themeTint="BF"/>
    </w:rPr>
  </w:style>
  <w:style w:type="paragraph" w:styleId="ListParagraph">
    <w:name w:val="List Paragraph"/>
    <w:basedOn w:val="Normal"/>
    <w:uiPriority w:val="34"/>
    <w:qFormat/>
    <w:rsid w:val="00D93DC2"/>
    <w:pPr>
      <w:ind w:left="720"/>
      <w:contextualSpacing/>
    </w:pPr>
  </w:style>
  <w:style w:type="character" w:styleId="IntenseEmphasis">
    <w:name w:val="Intense Emphasis"/>
    <w:basedOn w:val="DefaultParagraphFont"/>
    <w:uiPriority w:val="21"/>
    <w:qFormat/>
    <w:rsid w:val="00D93DC2"/>
    <w:rPr>
      <w:i/>
      <w:iCs/>
      <w:color w:val="0F4761" w:themeColor="accent1" w:themeShade="BF"/>
    </w:rPr>
  </w:style>
  <w:style w:type="paragraph" w:styleId="IntenseQuote">
    <w:name w:val="Intense Quote"/>
    <w:basedOn w:val="Normal"/>
    <w:next w:val="Normal"/>
    <w:link w:val="IntenseQuoteChar"/>
    <w:uiPriority w:val="30"/>
    <w:qFormat/>
    <w:rsid w:val="00D93D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3DC2"/>
    <w:rPr>
      <w:i/>
      <w:iCs/>
      <w:color w:val="0F4761" w:themeColor="accent1" w:themeShade="BF"/>
    </w:rPr>
  </w:style>
  <w:style w:type="character" w:styleId="IntenseReference">
    <w:name w:val="Intense Reference"/>
    <w:basedOn w:val="DefaultParagraphFont"/>
    <w:uiPriority w:val="32"/>
    <w:qFormat/>
    <w:rsid w:val="00D93DC2"/>
    <w:rPr>
      <w:b/>
      <w:bCs/>
      <w:smallCaps/>
      <w:color w:val="0F4761" w:themeColor="accent1" w:themeShade="BF"/>
      <w:spacing w:val="5"/>
    </w:rPr>
  </w:style>
  <w:style w:type="paragraph" w:styleId="Header">
    <w:name w:val="header"/>
    <w:basedOn w:val="Normal"/>
    <w:link w:val="HeaderChar"/>
    <w:uiPriority w:val="99"/>
    <w:unhideWhenUsed/>
    <w:rsid w:val="00455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472"/>
  </w:style>
  <w:style w:type="paragraph" w:styleId="Footer">
    <w:name w:val="footer"/>
    <w:basedOn w:val="Normal"/>
    <w:link w:val="FooterChar"/>
    <w:uiPriority w:val="99"/>
    <w:unhideWhenUsed/>
    <w:rsid w:val="0045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472"/>
  </w:style>
  <w:style w:type="character" w:styleId="Hyperlink">
    <w:name w:val="Hyperlink"/>
    <w:basedOn w:val="DefaultParagraphFont"/>
    <w:uiPriority w:val="99"/>
    <w:unhideWhenUsed/>
    <w:rsid w:val="00EF75F9"/>
    <w:rPr>
      <w:color w:val="467886" w:themeColor="hyperlink"/>
      <w:u w:val="single"/>
    </w:rPr>
  </w:style>
  <w:style w:type="character" w:styleId="UnresolvedMention">
    <w:name w:val="Unresolved Mention"/>
    <w:basedOn w:val="DefaultParagraphFont"/>
    <w:uiPriority w:val="99"/>
    <w:semiHidden/>
    <w:unhideWhenUsed/>
    <w:rsid w:val="00EF7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984799">
      <w:bodyDiv w:val="1"/>
      <w:marLeft w:val="0"/>
      <w:marRight w:val="0"/>
      <w:marTop w:val="0"/>
      <w:marBottom w:val="0"/>
      <w:divBdr>
        <w:top w:val="none" w:sz="0" w:space="0" w:color="auto"/>
        <w:left w:val="none" w:sz="0" w:space="0" w:color="auto"/>
        <w:bottom w:val="none" w:sz="0" w:space="0" w:color="auto"/>
        <w:right w:val="none" w:sz="0" w:space="0" w:color="auto"/>
      </w:divBdr>
    </w:div>
    <w:div w:id="170814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osaic.com/fa"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osaic.com/fa" TargetMode="External"/><Relationship Id="rId17" Type="http://schemas.openxmlformats.org/officeDocument/2006/relationships/hyperlink" Target="https://osaic.com/" TargetMode="External"/><Relationship Id="rId2" Type="http://schemas.openxmlformats.org/officeDocument/2006/relationships/settings" Target="settings.xml"/><Relationship Id="rId16" Type="http://schemas.openxmlformats.org/officeDocument/2006/relationships/hyperlink" Target="https://osaic.com/fa"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osaic.com/fa"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osaic.com/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dietz</dc:creator>
  <cp:keywords/>
  <dc:description/>
  <cp:lastModifiedBy>Connelly, Sean</cp:lastModifiedBy>
  <cp:revision>4</cp:revision>
  <cp:lastPrinted>2025-03-24T23:46:00Z</cp:lastPrinted>
  <dcterms:created xsi:type="dcterms:W3CDTF">2025-10-22T18:06:00Z</dcterms:created>
  <dcterms:modified xsi:type="dcterms:W3CDTF">2025-11-04T21:47:00Z</dcterms:modified>
</cp:coreProperties>
</file>